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B6BE" w14:textId="53D0CB4D" w:rsidR="00926A35" w:rsidRPr="00747296" w:rsidRDefault="00114555" w:rsidP="001844B0">
      <w:pPr>
        <w:ind w:left="567" w:hanging="567"/>
        <w:jc w:val="center"/>
        <w:rPr>
          <w:rFonts w:ascii="Arial Nova" w:eastAsia="Arial Unicode MS" w:hAnsi="Arial Nova" w:cs="Geeza Pro"/>
          <w:b/>
          <w:bCs/>
          <w:sz w:val="26"/>
          <w:szCs w:val="26"/>
        </w:rPr>
      </w:pPr>
      <w:r w:rsidRPr="00747296">
        <w:rPr>
          <w:rFonts w:ascii="Arial Nova" w:eastAsia="Arial Unicode MS" w:hAnsi="Arial Nova" w:cs="Geeza Pro"/>
          <w:b/>
          <w:bCs/>
          <w:color w:val="000000"/>
          <w:sz w:val="26"/>
          <w:szCs w:val="26"/>
        </w:rPr>
        <w:t xml:space="preserve">Indian Government Opens </w:t>
      </w:r>
      <w:r w:rsidR="008E6240" w:rsidRPr="00747296">
        <w:rPr>
          <w:rFonts w:ascii="Arial Nova" w:eastAsia="Arial Unicode MS" w:hAnsi="Arial Nova" w:cs="Geeza Pro"/>
          <w:b/>
          <w:bCs/>
          <w:color w:val="000000"/>
          <w:sz w:val="26"/>
          <w:szCs w:val="26"/>
        </w:rPr>
        <w:t xml:space="preserve">15 CBM Blocks </w:t>
      </w:r>
      <w:r w:rsidRPr="00747296">
        <w:rPr>
          <w:rFonts w:ascii="Arial Nova" w:eastAsia="Arial Unicode MS" w:hAnsi="Arial Nova" w:cs="Geeza Pro"/>
          <w:b/>
          <w:bCs/>
          <w:color w:val="000000"/>
          <w:sz w:val="26"/>
          <w:szCs w:val="26"/>
        </w:rPr>
        <w:t>For International Competitive Bidding</w:t>
      </w:r>
    </w:p>
    <w:p w14:paraId="2251791B" w14:textId="77777777" w:rsidR="00926A35" w:rsidRPr="00D57B87" w:rsidRDefault="00926A35" w:rsidP="001844B0">
      <w:pPr>
        <w:jc w:val="both"/>
        <w:rPr>
          <w:rFonts w:ascii="Arial Nova" w:eastAsia="Arial Unicode MS" w:hAnsi="Arial Nova" w:cs="Geeza Pro"/>
          <w:sz w:val="22"/>
          <w:szCs w:val="22"/>
        </w:rPr>
      </w:pPr>
    </w:p>
    <w:p w14:paraId="30A07570" w14:textId="0A4E1CD4" w:rsidR="001844B0" w:rsidRPr="00D57B87" w:rsidRDefault="00114555" w:rsidP="00552794">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On September 22, 2021, the Government of India (Indian Government) has announced that it has opened for International Competitive Bidding (ICB) 15 Coal Bed Methane (CBM) Blocks (Special CBM Bid Round-2021</w:t>
      </w:r>
      <w:r w:rsidR="0025076B" w:rsidRPr="00D57B87">
        <w:rPr>
          <w:rFonts w:ascii="Arial Nova" w:eastAsia="Arial Unicode MS" w:hAnsi="Arial Nova" w:cs="Geeza Pro"/>
          <w:color w:val="000000"/>
          <w:sz w:val="22"/>
          <w:szCs w:val="22"/>
        </w:rPr>
        <w:t>)</w:t>
      </w:r>
      <w:r w:rsidRPr="00D57B87">
        <w:rPr>
          <w:rFonts w:ascii="Arial Nova" w:eastAsia="Arial Unicode MS" w:hAnsi="Arial Nova" w:cs="Geeza Pro"/>
          <w:color w:val="000000"/>
          <w:sz w:val="22"/>
          <w:szCs w:val="22"/>
        </w:rPr>
        <w:t xml:space="preserve">. The successful bidder will be entitled to exploration, development and monetisation </w:t>
      </w:r>
      <w:r w:rsidR="0025076B" w:rsidRPr="00D57B87">
        <w:rPr>
          <w:rFonts w:ascii="Arial Nova" w:eastAsia="Arial Unicode MS" w:hAnsi="Arial Nova" w:cs="Geeza Pro"/>
          <w:color w:val="000000"/>
          <w:sz w:val="22"/>
          <w:szCs w:val="22"/>
        </w:rPr>
        <w:t xml:space="preserve">of CBM Block </w:t>
      </w:r>
      <w:r w:rsidRPr="00D57B87">
        <w:rPr>
          <w:rFonts w:ascii="Arial Nova" w:eastAsia="Arial Unicode MS" w:hAnsi="Arial Nova" w:cs="Geeza Pro"/>
          <w:color w:val="000000"/>
          <w:sz w:val="22"/>
          <w:szCs w:val="22"/>
        </w:rPr>
        <w:t>under Hydrocarbon Exploration and Licensing Policy (HELP) and Open Acreage Licensing Policy (OALP).</w:t>
      </w:r>
    </w:p>
    <w:p w14:paraId="503DD35E" w14:textId="6643FE86" w:rsidR="00926A35" w:rsidRPr="00D57B87" w:rsidRDefault="00114555" w:rsidP="00552794">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One hundred (100) participation is permitted by foreign companies either singly or in a joint venture. However, such participation will be subject to </w:t>
      </w:r>
      <w:r w:rsidR="00310DF1" w:rsidRPr="00D57B87">
        <w:rPr>
          <w:rFonts w:ascii="Arial Nova" w:eastAsia="Arial Unicode MS" w:hAnsi="Arial Nova" w:cs="Geeza Pro"/>
          <w:color w:val="000000"/>
          <w:sz w:val="22"/>
          <w:szCs w:val="22"/>
        </w:rPr>
        <w:t xml:space="preserve">Foreign Investment Regulations (i.e. </w:t>
      </w:r>
      <w:r w:rsidR="0025076B" w:rsidRPr="00D57B87">
        <w:rPr>
          <w:rFonts w:ascii="Arial Nova" w:eastAsia="Arial Unicode MS" w:hAnsi="Arial Nova" w:cs="Geeza Pro"/>
          <w:color w:val="000000"/>
          <w:sz w:val="22"/>
          <w:szCs w:val="22"/>
        </w:rPr>
        <w:t>Indian Government’s Foreign Direct Investment (</w:t>
      </w:r>
      <w:r w:rsidRPr="00D57B87">
        <w:rPr>
          <w:rFonts w:ascii="Arial Nova" w:eastAsia="Arial Unicode MS" w:hAnsi="Arial Nova" w:cs="Geeza Pro"/>
          <w:color w:val="000000"/>
          <w:sz w:val="22"/>
          <w:szCs w:val="22"/>
        </w:rPr>
        <w:t>FDI</w:t>
      </w:r>
      <w:r w:rsidR="0025076B" w:rsidRPr="00D57B87">
        <w:rPr>
          <w:rFonts w:ascii="Arial Nova" w:eastAsia="Arial Unicode MS" w:hAnsi="Arial Nova" w:cs="Geeza Pro"/>
          <w:color w:val="000000"/>
          <w:sz w:val="22"/>
          <w:szCs w:val="22"/>
        </w:rPr>
        <w:t>)</w:t>
      </w:r>
      <w:r w:rsidRPr="00D57B87">
        <w:rPr>
          <w:rFonts w:ascii="Arial Nova" w:eastAsia="Arial Unicode MS" w:hAnsi="Arial Nova" w:cs="Geeza Pro"/>
          <w:color w:val="000000"/>
          <w:sz w:val="22"/>
          <w:szCs w:val="22"/>
        </w:rPr>
        <w:t xml:space="preserve"> </w:t>
      </w:r>
      <w:r w:rsidR="0025076B" w:rsidRPr="00D57B87">
        <w:rPr>
          <w:rFonts w:ascii="Arial Nova" w:eastAsia="Arial Unicode MS" w:hAnsi="Arial Nova" w:cs="Geeza Pro"/>
          <w:color w:val="000000"/>
          <w:sz w:val="22"/>
          <w:szCs w:val="22"/>
        </w:rPr>
        <w:t>Policy</w:t>
      </w:r>
      <w:r w:rsidRPr="00D57B87">
        <w:rPr>
          <w:rFonts w:ascii="Arial Nova" w:eastAsia="Arial Unicode MS" w:hAnsi="Arial Nova" w:cs="Geeza Pro"/>
          <w:color w:val="000000"/>
          <w:sz w:val="22"/>
          <w:szCs w:val="22"/>
        </w:rPr>
        <w:t xml:space="preserve"> and the Indian Exchange Control Laws</w:t>
      </w:r>
      <w:r w:rsidR="0025076B" w:rsidRPr="00D57B87">
        <w:rPr>
          <w:rFonts w:ascii="Arial Nova" w:eastAsia="Arial Unicode MS" w:hAnsi="Arial Nova" w:cs="Geeza Pro"/>
          <w:color w:val="000000"/>
          <w:sz w:val="22"/>
          <w:szCs w:val="22"/>
        </w:rPr>
        <w:t xml:space="preserve"> i.e. Foreign Exchange Management Act, 1999 and applicable rules and regulations</w:t>
      </w:r>
      <w:r w:rsidR="00310DF1" w:rsidRPr="00D57B87">
        <w:rPr>
          <w:rFonts w:ascii="Arial Nova" w:eastAsia="Arial Unicode MS" w:hAnsi="Arial Nova" w:cs="Geeza Pro"/>
          <w:color w:val="000000"/>
          <w:sz w:val="22"/>
          <w:szCs w:val="22"/>
        </w:rPr>
        <w:t>).</w:t>
      </w:r>
      <w:r w:rsidRPr="00D57B87">
        <w:rPr>
          <w:rFonts w:ascii="Arial Nova" w:eastAsia="Arial Unicode MS" w:hAnsi="Arial Nova" w:cs="Geeza Pro"/>
          <w:color w:val="000000"/>
          <w:sz w:val="22"/>
          <w:szCs w:val="22"/>
        </w:rPr>
        <w:t> </w:t>
      </w:r>
    </w:p>
    <w:p w14:paraId="1C969745" w14:textId="771DB4D6" w:rsidR="00552794" w:rsidRPr="00D57B87" w:rsidRDefault="00114555" w:rsidP="00552794">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The program of Special CBM Bid Round-2021 as announced by the Indian Government is as under: </w:t>
      </w:r>
    </w:p>
    <w:p w14:paraId="2B008D09" w14:textId="77777777" w:rsidR="00552794" w:rsidRPr="00D57B87" w:rsidRDefault="00114555" w:rsidP="00552794">
      <w:pPr>
        <w:numPr>
          <w:ilvl w:val="1"/>
          <w:numId w:val="4"/>
        </w:numPr>
        <w:spacing w:after="240" w:line="360" w:lineRule="exact"/>
        <w:ind w:left="1418" w:hanging="716"/>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On September 22, 2021, the Indian Government had published the Notice Inviting Offer (NIO) and Model Revenue Sharing Contract (MRSC). </w:t>
      </w:r>
    </w:p>
    <w:p w14:paraId="29295AD9" w14:textId="77419BBD" w:rsidR="00552794" w:rsidRPr="00D57B87" w:rsidRDefault="00114555" w:rsidP="00552794">
      <w:pPr>
        <w:numPr>
          <w:ilvl w:val="1"/>
          <w:numId w:val="4"/>
        </w:numPr>
        <w:spacing w:after="240" w:line="360" w:lineRule="exact"/>
        <w:ind w:left="1418" w:hanging="716"/>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On October 17, 2021, by 12:00hrs Indian Standard Time (IST) the pre-bid queries could be sent. </w:t>
      </w:r>
      <w:r w:rsidRPr="00D57B87">
        <w:rPr>
          <w:rFonts w:ascii="Arial Nova" w:eastAsia="Arial Unicode MS" w:hAnsi="Arial Nova" w:cs="Geeza Pro"/>
          <w:i/>
          <w:iCs/>
          <w:color w:val="000000"/>
          <w:sz w:val="22"/>
          <w:szCs w:val="22"/>
        </w:rPr>
        <w:t>Only those parties who submit pre-bid queries within this date are allowed to participate in the pre-bid conference</w:t>
      </w:r>
      <w:r w:rsidRPr="00D57B87">
        <w:rPr>
          <w:rFonts w:ascii="Arial Nova" w:eastAsia="Arial Unicode MS" w:hAnsi="Arial Nova" w:cs="Geeza Pro"/>
          <w:color w:val="000000"/>
          <w:sz w:val="22"/>
          <w:szCs w:val="22"/>
        </w:rPr>
        <w:t>.</w:t>
      </w:r>
    </w:p>
    <w:p w14:paraId="328EFC11" w14:textId="77777777" w:rsidR="00552794" w:rsidRPr="00D57B87" w:rsidRDefault="00114555" w:rsidP="00552794">
      <w:pPr>
        <w:numPr>
          <w:ilvl w:val="1"/>
          <w:numId w:val="4"/>
        </w:numPr>
        <w:spacing w:after="240" w:line="360" w:lineRule="exact"/>
        <w:ind w:left="1418" w:hanging="716"/>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On October 22, 2021, a pre-Bid conference is scheduled. </w:t>
      </w:r>
    </w:p>
    <w:p w14:paraId="3268EBB9" w14:textId="7CD1BB7D" w:rsidR="00552794" w:rsidRPr="00D57B87" w:rsidRDefault="00114555" w:rsidP="00552794">
      <w:pPr>
        <w:numPr>
          <w:ilvl w:val="1"/>
          <w:numId w:val="4"/>
        </w:numPr>
        <w:spacing w:after="240" w:line="360" w:lineRule="exact"/>
        <w:ind w:left="1418" w:hanging="716"/>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On January </w:t>
      </w:r>
      <w:r w:rsidR="0025076B" w:rsidRPr="00D57B87">
        <w:rPr>
          <w:rFonts w:ascii="Arial Nova" w:eastAsia="Arial Unicode MS" w:hAnsi="Arial Nova" w:cs="Geeza Pro"/>
          <w:color w:val="000000"/>
          <w:sz w:val="22"/>
          <w:szCs w:val="22"/>
        </w:rPr>
        <w:t xml:space="preserve">20, </w:t>
      </w:r>
      <w:r w:rsidRPr="00D57B87">
        <w:rPr>
          <w:rFonts w:ascii="Arial Nova" w:eastAsia="Arial Unicode MS" w:hAnsi="Arial Nova" w:cs="Geeza Pro"/>
          <w:color w:val="000000"/>
          <w:sz w:val="22"/>
          <w:szCs w:val="22"/>
        </w:rPr>
        <w:t xml:space="preserve">2022, the Bid Submission will start. </w:t>
      </w:r>
    </w:p>
    <w:p w14:paraId="42E31482" w14:textId="5AA82849" w:rsidR="00552794" w:rsidRPr="00D57B87" w:rsidRDefault="00114555" w:rsidP="00552794">
      <w:pPr>
        <w:numPr>
          <w:ilvl w:val="1"/>
          <w:numId w:val="4"/>
        </w:numPr>
        <w:spacing w:after="240" w:line="360" w:lineRule="exact"/>
        <w:ind w:left="1418" w:hanging="716"/>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On February </w:t>
      </w:r>
      <w:r w:rsidR="0025076B" w:rsidRPr="00D57B87">
        <w:rPr>
          <w:rFonts w:ascii="Arial Nova" w:eastAsia="Arial Unicode MS" w:hAnsi="Arial Nova" w:cs="Geeza Pro"/>
          <w:color w:val="000000"/>
          <w:sz w:val="22"/>
          <w:szCs w:val="22"/>
        </w:rPr>
        <w:t xml:space="preserve">20, </w:t>
      </w:r>
      <w:r w:rsidRPr="00D57B87">
        <w:rPr>
          <w:rFonts w:ascii="Arial Nova" w:eastAsia="Arial Unicode MS" w:hAnsi="Arial Nova" w:cs="Geeza Pro"/>
          <w:color w:val="000000"/>
          <w:sz w:val="22"/>
          <w:szCs w:val="22"/>
        </w:rPr>
        <w:t xml:space="preserve">2022, the Bid Submission will end. </w:t>
      </w:r>
    </w:p>
    <w:p w14:paraId="2E9A06ED" w14:textId="77777777" w:rsidR="00310DF1" w:rsidRPr="00D57B87" w:rsidRDefault="00114555" w:rsidP="00310DF1">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The NIO and MRSC are available at the link https://online.dghindia.org/cbm#. The bids are to be submitted through the e-bidding portal https://ebidding.dghindia.gov.in. </w:t>
      </w:r>
    </w:p>
    <w:p w14:paraId="06103510" w14:textId="05059861" w:rsidR="00A64DBB" w:rsidRPr="00D57B87" w:rsidRDefault="00114555" w:rsidP="00310DF1">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Bidders are provided with the tutorial at the e-bidding portal. Potential bidders must carefully go over the NIO and the MRSC and data provided for by the Indian Government to every potential bidder to study and submit the Bid. </w:t>
      </w:r>
    </w:p>
    <w:p w14:paraId="66087D66" w14:textId="08C7464F" w:rsidR="00310DF1" w:rsidRPr="00D57B87" w:rsidRDefault="00114555" w:rsidP="00310DF1">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A bidder is required to pay the required minimum data purchase fee for minimum mandatory data purchase in respect of each block.  Bidders can purchase additional data for an additional fee </w:t>
      </w:r>
      <w:r w:rsidR="00A64DBB" w:rsidRPr="00D57B87">
        <w:rPr>
          <w:rFonts w:ascii="Arial Nova" w:eastAsia="Arial Unicode MS" w:hAnsi="Arial Nova" w:cs="Geeza Pro"/>
          <w:color w:val="000000"/>
          <w:sz w:val="22"/>
          <w:szCs w:val="22"/>
        </w:rPr>
        <w:t>at</w:t>
      </w:r>
      <w:r w:rsidRPr="00D57B87">
        <w:rPr>
          <w:rFonts w:ascii="Arial Nova" w:eastAsia="Arial Unicode MS" w:hAnsi="Arial Nova" w:cs="Geeza Pro"/>
          <w:color w:val="000000"/>
          <w:sz w:val="22"/>
          <w:szCs w:val="22"/>
        </w:rPr>
        <w:t xml:space="preserve"> the rates prescribed by National Data Respiratory (NDR). All </w:t>
      </w:r>
      <w:r w:rsidRPr="00D57B87">
        <w:rPr>
          <w:rFonts w:ascii="Arial Nova" w:eastAsia="Arial Unicode MS" w:hAnsi="Arial Nova" w:cs="Geeza Pro"/>
          <w:color w:val="000000"/>
          <w:sz w:val="22"/>
          <w:szCs w:val="22"/>
        </w:rPr>
        <w:lastRenderedPageBreak/>
        <w:t xml:space="preserve">the data, including the data gathered during the contract, is the Indian Government's property and is required to be submitted to NDR. </w:t>
      </w:r>
    </w:p>
    <w:p w14:paraId="52DA5C53" w14:textId="77777777" w:rsidR="00A64DBB" w:rsidRPr="00D57B87" w:rsidRDefault="00114555" w:rsidP="00A64DBB">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Bidders are required to pay a technical fee of (INR 75,000) (Indian National Rupee Seventy Five Thousand). </w:t>
      </w:r>
    </w:p>
    <w:p w14:paraId="5FE0EC69" w14:textId="36B63655" w:rsidR="00A64DBB" w:rsidRPr="00D57B87" w:rsidRDefault="00114555" w:rsidP="00A64DBB">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Additionally, a bidder is required to submit a Bid Bond (favouring the Indian Government as the beneficiary) of the requisite amount is required to be submitted along with the Bid as security for adherence to the terms and conditions set out in the NIO. Note that the value of the Bid Bond as provided in the NIO differs for each CBM Block.   </w:t>
      </w:r>
    </w:p>
    <w:p w14:paraId="1CAB8FB7" w14:textId="0F9FBA02" w:rsidR="00552794" w:rsidRPr="00D57B87" w:rsidRDefault="00114555" w:rsidP="00552794">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The CBM Blocks are offered to augment the domestic need. This implies that the gas so produced from CBM Blocks cannot be exported outside India. The </w:t>
      </w:r>
      <w:r w:rsidR="00A64DBB" w:rsidRPr="00D57B87">
        <w:rPr>
          <w:rFonts w:ascii="Arial Nova" w:eastAsia="Arial Unicode MS" w:hAnsi="Arial Nova" w:cs="Geeza Pro"/>
          <w:color w:val="000000"/>
          <w:sz w:val="22"/>
          <w:szCs w:val="22"/>
        </w:rPr>
        <w:t xml:space="preserve">NIO </w:t>
      </w:r>
      <w:r w:rsidRPr="00D57B87">
        <w:rPr>
          <w:rFonts w:ascii="Arial Nova" w:eastAsia="Arial Unicode MS" w:hAnsi="Arial Nova" w:cs="Geeza Pro"/>
          <w:color w:val="000000"/>
          <w:sz w:val="22"/>
          <w:szCs w:val="22"/>
        </w:rPr>
        <w:t>also expressly provides so.</w:t>
      </w:r>
    </w:p>
    <w:p w14:paraId="4C6284B0" w14:textId="5A7406D2" w:rsidR="00552794" w:rsidRPr="00D57B87" w:rsidRDefault="00114555" w:rsidP="00552794">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A company or a consortium of companies to be able to bid must fulfil technical and financial criteria as outlined in the</w:t>
      </w:r>
      <w:r w:rsidR="00310DF1" w:rsidRPr="00D57B87">
        <w:rPr>
          <w:rFonts w:ascii="Arial Nova" w:eastAsia="Arial Unicode MS" w:hAnsi="Arial Nova" w:cs="Geeza Pro"/>
          <w:color w:val="000000"/>
          <w:sz w:val="22"/>
          <w:szCs w:val="22"/>
        </w:rPr>
        <w:t xml:space="preserve"> NIO</w:t>
      </w:r>
      <w:r w:rsidRPr="00D57B87">
        <w:rPr>
          <w:rFonts w:ascii="Arial Nova" w:eastAsia="Arial Unicode MS" w:hAnsi="Arial Nova" w:cs="Geeza Pro"/>
          <w:color w:val="000000"/>
          <w:sz w:val="22"/>
          <w:szCs w:val="22"/>
        </w:rPr>
        <w:t>. </w:t>
      </w:r>
      <w:r w:rsidR="00EE001A">
        <w:rPr>
          <w:rFonts w:ascii="Arial Nova" w:eastAsia="Arial Unicode MS" w:hAnsi="Arial Nova" w:cs="Geeza Pro"/>
          <w:color w:val="000000"/>
          <w:sz w:val="22"/>
          <w:szCs w:val="22"/>
        </w:rPr>
        <w:t>Bids must strictly comply with the NIO, else the non-compliant bids are liable to be rejected.</w:t>
      </w:r>
    </w:p>
    <w:p w14:paraId="60CA7D62" w14:textId="00BC219F" w:rsidR="00926A35" w:rsidRPr="00D57B87" w:rsidRDefault="00114555" w:rsidP="00552794">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A bidder is required to fulfil the requisite net worth criteria commensurate to the value of their bid for a Committed Work Programme as specified at the time of the bidding. If a bidder is unable to meet the net worth criteria, then instead of net worth criteria such bidder is required to furnish a bank guarantee favouring the Indian Government as the beneficiary (BG) in the form and the requirements prescribed in the bid documents. </w:t>
      </w:r>
    </w:p>
    <w:p w14:paraId="53390EB0" w14:textId="77777777" w:rsidR="00926A35" w:rsidRPr="00D57B87" w:rsidRDefault="00114555" w:rsidP="00552794">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A potential bidder is permitted to make a bid for a particular CBM Block either singly or in consortium either as an Operator or a Non-Operator. In other words, a bidder cannot make more than one bid for a single block in any of the above permutations and combinations. </w:t>
      </w:r>
    </w:p>
    <w:p w14:paraId="6E375C3F" w14:textId="0BDE4A76" w:rsidR="00926A35" w:rsidRPr="00D57B87" w:rsidRDefault="00114555" w:rsidP="00552794">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If </w:t>
      </w:r>
      <w:r w:rsidR="0025076B" w:rsidRPr="00D57B87">
        <w:rPr>
          <w:rFonts w:ascii="Arial Nova" w:eastAsia="Arial Unicode MS" w:hAnsi="Arial Nova" w:cs="Geeza Pro"/>
          <w:color w:val="000000"/>
          <w:sz w:val="22"/>
          <w:szCs w:val="22"/>
        </w:rPr>
        <w:t xml:space="preserve">the </w:t>
      </w:r>
      <w:r w:rsidRPr="00D57B87">
        <w:rPr>
          <w:rFonts w:ascii="Arial Nova" w:eastAsia="Arial Unicode MS" w:hAnsi="Arial Nova" w:cs="Geeza Pro"/>
          <w:color w:val="000000"/>
          <w:sz w:val="22"/>
          <w:szCs w:val="22"/>
        </w:rPr>
        <w:t>Bid Bond and or the BG is submitted in foreign currency, the</w:t>
      </w:r>
      <w:r w:rsidR="0025076B" w:rsidRPr="00D57B87">
        <w:rPr>
          <w:rFonts w:ascii="Arial Nova" w:eastAsia="Arial Unicode MS" w:hAnsi="Arial Nova" w:cs="Geeza Pro"/>
          <w:color w:val="000000"/>
          <w:sz w:val="22"/>
          <w:szCs w:val="22"/>
        </w:rPr>
        <w:t>n the</w:t>
      </w:r>
      <w:r w:rsidRPr="00D57B87">
        <w:rPr>
          <w:rFonts w:ascii="Arial Nova" w:eastAsia="Arial Unicode MS" w:hAnsi="Arial Nova" w:cs="Geeza Pro"/>
          <w:color w:val="000000"/>
          <w:sz w:val="22"/>
          <w:szCs w:val="22"/>
        </w:rPr>
        <w:t xml:space="preserve"> bidder must </w:t>
      </w:r>
      <w:r w:rsidR="0025076B" w:rsidRPr="00D57B87">
        <w:rPr>
          <w:rFonts w:ascii="Arial Nova" w:eastAsia="Arial Unicode MS" w:hAnsi="Arial Nova" w:cs="Geeza Pro"/>
          <w:color w:val="000000"/>
          <w:sz w:val="22"/>
          <w:szCs w:val="22"/>
        </w:rPr>
        <w:t xml:space="preserve">ensure </w:t>
      </w:r>
      <w:r w:rsidRPr="00D57B87">
        <w:rPr>
          <w:rFonts w:ascii="Arial Nova" w:eastAsia="Arial Unicode MS" w:hAnsi="Arial Nova" w:cs="Geeza Pro"/>
          <w:color w:val="000000"/>
          <w:sz w:val="22"/>
          <w:szCs w:val="22"/>
        </w:rPr>
        <w:t>that the</w:t>
      </w:r>
      <w:r w:rsidR="0025076B" w:rsidRPr="00D57B87">
        <w:rPr>
          <w:rFonts w:ascii="Arial Nova" w:eastAsia="Arial Unicode MS" w:hAnsi="Arial Nova" w:cs="Geeza Pro"/>
          <w:color w:val="000000"/>
          <w:sz w:val="22"/>
          <w:szCs w:val="22"/>
        </w:rPr>
        <w:t xml:space="preserve"> </w:t>
      </w:r>
      <w:r w:rsidRPr="00D57B87">
        <w:rPr>
          <w:rFonts w:ascii="Arial Nova" w:eastAsia="Arial Unicode MS" w:hAnsi="Arial Nova" w:cs="Geeza Pro"/>
          <w:color w:val="000000"/>
          <w:sz w:val="22"/>
          <w:szCs w:val="22"/>
        </w:rPr>
        <w:t>amount</w:t>
      </w:r>
      <w:r w:rsidR="0025076B" w:rsidRPr="00D57B87">
        <w:rPr>
          <w:rFonts w:ascii="Arial Nova" w:eastAsia="Arial Unicode MS" w:hAnsi="Arial Nova" w:cs="Geeza Pro"/>
          <w:color w:val="000000"/>
          <w:sz w:val="22"/>
          <w:szCs w:val="22"/>
        </w:rPr>
        <w:t xml:space="preserve"> of each of the Bid Bond and the BG</w:t>
      </w:r>
      <w:r w:rsidRPr="00D57B87">
        <w:rPr>
          <w:rFonts w:ascii="Arial Nova" w:eastAsia="Arial Unicode MS" w:hAnsi="Arial Nova" w:cs="Geeza Pro"/>
          <w:color w:val="000000"/>
          <w:sz w:val="22"/>
          <w:szCs w:val="22"/>
        </w:rPr>
        <w:t xml:space="preserve"> </w:t>
      </w:r>
      <w:r w:rsidR="0025076B" w:rsidRPr="00D57B87">
        <w:rPr>
          <w:rFonts w:ascii="Arial Nova" w:eastAsia="Arial Unicode MS" w:hAnsi="Arial Nova" w:cs="Geeza Pro"/>
          <w:color w:val="000000"/>
          <w:sz w:val="22"/>
          <w:szCs w:val="22"/>
        </w:rPr>
        <w:t xml:space="preserve">is </w:t>
      </w:r>
      <w:r w:rsidRPr="00D57B87">
        <w:rPr>
          <w:rFonts w:ascii="Arial Nova" w:eastAsia="Arial Unicode MS" w:hAnsi="Arial Nova" w:cs="Geeza Pro"/>
          <w:color w:val="000000"/>
          <w:sz w:val="22"/>
          <w:szCs w:val="22"/>
        </w:rPr>
        <w:t xml:space="preserve">equivalent to INR by applying the foreign exchange rate published by Financial Benchmarks India (P) Ltd </w:t>
      </w:r>
      <w:r w:rsidR="0025076B" w:rsidRPr="00D57B87">
        <w:rPr>
          <w:rFonts w:ascii="Arial Nova" w:eastAsia="Arial Unicode MS" w:hAnsi="Arial Nova" w:cs="Geeza Pro"/>
          <w:color w:val="000000"/>
          <w:sz w:val="22"/>
          <w:szCs w:val="22"/>
        </w:rPr>
        <w:t xml:space="preserve">either </w:t>
      </w:r>
      <w:r w:rsidRPr="00D57B87">
        <w:rPr>
          <w:rFonts w:ascii="Arial Nova" w:eastAsia="Arial Unicode MS" w:hAnsi="Arial Nova" w:cs="Geeza Pro"/>
          <w:color w:val="000000"/>
          <w:sz w:val="22"/>
          <w:szCs w:val="22"/>
        </w:rPr>
        <w:t xml:space="preserve">of the same day or the previous workday to the date of </w:t>
      </w:r>
      <w:r w:rsidR="0025076B" w:rsidRPr="00D57B87">
        <w:rPr>
          <w:rFonts w:ascii="Arial Nova" w:eastAsia="Arial Unicode MS" w:hAnsi="Arial Nova" w:cs="Geeza Pro"/>
          <w:color w:val="000000"/>
          <w:sz w:val="22"/>
          <w:szCs w:val="22"/>
        </w:rPr>
        <w:t xml:space="preserve">the </w:t>
      </w:r>
      <w:r w:rsidRPr="00D57B87">
        <w:rPr>
          <w:rFonts w:ascii="Arial Nova" w:eastAsia="Arial Unicode MS" w:hAnsi="Arial Nova" w:cs="Geeza Pro"/>
          <w:color w:val="000000"/>
          <w:sz w:val="22"/>
          <w:szCs w:val="22"/>
        </w:rPr>
        <w:t xml:space="preserve">Bid Bond and the BG. </w:t>
      </w:r>
    </w:p>
    <w:p w14:paraId="5CDADE10" w14:textId="77777777" w:rsidR="00926A35" w:rsidRPr="00D57B87" w:rsidRDefault="00114555" w:rsidP="00552794">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The Bid Bond and the BG will be governed by Indian Laws and resolution of disputes concerning the Bid Bond will be subject to Courts at New Delhi.</w:t>
      </w:r>
    </w:p>
    <w:p w14:paraId="5385EB58" w14:textId="7F227696" w:rsidR="00926A35" w:rsidRPr="00D57B87" w:rsidRDefault="0025076B" w:rsidP="00552794">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The </w:t>
      </w:r>
      <w:r w:rsidR="00114555" w:rsidRPr="00D57B87">
        <w:rPr>
          <w:rFonts w:ascii="Arial Nova" w:eastAsia="Arial Unicode MS" w:hAnsi="Arial Nova" w:cs="Geeza Pro"/>
          <w:color w:val="000000"/>
          <w:sz w:val="22"/>
          <w:szCs w:val="22"/>
        </w:rPr>
        <w:t xml:space="preserve">Bids would be evaluated based on Bid Evaluation Criteria (BEC) outlined in Chapter 6 of the NIO. </w:t>
      </w:r>
    </w:p>
    <w:p w14:paraId="53A27F83" w14:textId="77777777" w:rsidR="00926A35" w:rsidRPr="00D57B87" w:rsidRDefault="00114555" w:rsidP="00552794">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lastRenderedPageBreak/>
        <w:t>The successful bidder will be awarded the CBM Block and the awardee is required to enter into a Revenue Sharing Contract (RSC) with the Indian Government along the lines of Model Revenue Sharing Contract (MRSC) for Special CBM Bid Round-2021. </w:t>
      </w:r>
    </w:p>
    <w:p w14:paraId="59E40707" w14:textId="5D3D5625" w:rsidR="00630E11" w:rsidRPr="00D57B87" w:rsidRDefault="00114555" w:rsidP="00552794">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In addition to the Bid Bond, the </w:t>
      </w:r>
      <w:r w:rsidR="0025076B" w:rsidRPr="00D57B87">
        <w:rPr>
          <w:rFonts w:ascii="Arial Nova" w:eastAsia="Arial Unicode MS" w:hAnsi="Arial Nova" w:cs="Geeza Pro"/>
          <w:color w:val="000000"/>
          <w:sz w:val="22"/>
          <w:szCs w:val="22"/>
        </w:rPr>
        <w:t>BG furnished by the successful bidder in place of net worth criteria</w:t>
      </w:r>
      <w:r w:rsidR="00D57B87">
        <w:rPr>
          <w:rFonts w:ascii="Arial Nova" w:eastAsia="Arial Unicode MS" w:hAnsi="Arial Nova" w:cs="Geeza Pro"/>
          <w:color w:val="000000"/>
          <w:sz w:val="22"/>
          <w:szCs w:val="22"/>
        </w:rPr>
        <w:t>,</w:t>
      </w:r>
      <w:r w:rsidR="0025076B" w:rsidRPr="00D57B87">
        <w:rPr>
          <w:rFonts w:ascii="Arial Nova" w:eastAsia="Arial Unicode MS" w:hAnsi="Arial Nova" w:cs="Geeza Pro"/>
          <w:color w:val="000000"/>
          <w:sz w:val="22"/>
          <w:szCs w:val="22"/>
        </w:rPr>
        <w:t xml:space="preserve"> </w:t>
      </w:r>
      <w:r w:rsidRPr="00D57B87">
        <w:rPr>
          <w:rFonts w:ascii="Arial Nova" w:eastAsia="Arial Unicode MS" w:hAnsi="Arial Nova" w:cs="Geeza Pro"/>
          <w:color w:val="000000"/>
          <w:sz w:val="22"/>
          <w:szCs w:val="22"/>
        </w:rPr>
        <w:t xml:space="preserve">the </w:t>
      </w:r>
      <w:r w:rsidR="00926A35" w:rsidRPr="00D57B87">
        <w:rPr>
          <w:rFonts w:ascii="Arial Nova" w:eastAsia="Arial Unicode MS" w:hAnsi="Arial Nova" w:cs="Geeza Pro"/>
          <w:color w:val="000000"/>
          <w:sz w:val="22"/>
          <w:szCs w:val="22"/>
        </w:rPr>
        <w:t xml:space="preserve">Revenue Sharing Contract (RSC) </w:t>
      </w:r>
      <w:r w:rsidR="00D57B87">
        <w:rPr>
          <w:rFonts w:ascii="Arial Nova" w:eastAsia="Arial Unicode MS" w:hAnsi="Arial Nova" w:cs="Geeza Pro"/>
          <w:color w:val="000000"/>
          <w:sz w:val="22"/>
          <w:szCs w:val="22"/>
        </w:rPr>
        <w:t xml:space="preserve">as well Gas Supply Agreement </w:t>
      </w:r>
      <w:r w:rsidR="00926A35" w:rsidRPr="00D57B87">
        <w:rPr>
          <w:rFonts w:ascii="Arial Nova" w:eastAsia="Arial Unicode MS" w:hAnsi="Arial Nova" w:cs="Geeza Pro"/>
          <w:color w:val="000000"/>
          <w:sz w:val="22"/>
          <w:szCs w:val="22"/>
        </w:rPr>
        <w:t>will be governed by Indian law and the disputes will have to be resolved by arbitration under the Indian Arbitration and Conciliation Act, 1996. </w:t>
      </w:r>
    </w:p>
    <w:p w14:paraId="11705519" w14:textId="1967719E" w:rsidR="00464B51" w:rsidRPr="00D57B87" w:rsidRDefault="00114555" w:rsidP="00552794">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Following is the summary of the </w:t>
      </w:r>
      <w:r w:rsidR="004E220E" w:rsidRPr="00D57B87">
        <w:rPr>
          <w:rFonts w:ascii="Arial Nova" w:eastAsia="Arial Unicode MS" w:hAnsi="Arial Nova" w:cs="Geeza Pro"/>
          <w:color w:val="000000"/>
          <w:sz w:val="22"/>
          <w:szCs w:val="22"/>
        </w:rPr>
        <w:t>Commercial and Property L</w:t>
      </w:r>
      <w:r w:rsidR="00E73602" w:rsidRPr="00D57B87">
        <w:rPr>
          <w:rFonts w:ascii="Arial Nova" w:eastAsia="Arial Unicode MS" w:hAnsi="Arial Nova" w:cs="Geeza Pro"/>
          <w:color w:val="000000"/>
          <w:sz w:val="22"/>
          <w:szCs w:val="22"/>
        </w:rPr>
        <w:t>aw</w:t>
      </w:r>
      <w:r w:rsidR="004E220E" w:rsidRPr="00D57B87">
        <w:rPr>
          <w:rFonts w:ascii="Arial Nova" w:eastAsia="Arial Unicode MS" w:hAnsi="Arial Nova" w:cs="Geeza Pro"/>
          <w:color w:val="000000"/>
          <w:sz w:val="22"/>
          <w:szCs w:val="22"/>
        </w:rPr>
        <w:t>s</w:t>
      </w:r>
    </w:p>
    <w:p w14:paraId="4431648F" w14:textId="77777777" w:rsidR="00EC4BC1" w:rsidRPr="00D57B87" w:rsidRDefault="00114555" w:rsidP="007A5878">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The Indian Contract Act, 1872, the Indian Sale of Goods Act, 1930, the Indian Partnership Act, 1932</w:t>
      </w:r>
      <w:r w:rsidR="005D6BD3" w:rsidRPr="00D57B87">
        <w:rPr>
          <w:rFonts w:ascii="Arial Nova" w:eastAsia="Arial Unicode MS" w:hAnsi="Arial Nova" w:cs="Geeza Pro"/>
          <w:color w:val="000000"/>
          <w:sz w:val="22"/>
          <w:szCs w:val="22"/>
        </w:rPr>
        <w:t>, the Indian Trust Act, 1882,</w:t>
      </w:r>
      <w:r w:rsidR="008C5425" w:rsidRPr="00D57B87">
        <w:rPr>
          <w:rFonts w:ascii="Arial Nova" w:eastAsia="Arial Unicode MS" w:hAnsi="Arial Nova" w:cs="Geeza Pro"/>
          <w:color w:val="000000"/>
          <w:sz w:val="22"/>
          <w:szCs w:val="22"/>
        </w:rPr>
        <w:t xml:space="preserve"> and</w:t>
      </w:r>
      <w:r w:rsidR="005D6BD3" w:rsidRPr="00D57B87">
        <w:rPr>
          <w:rFonts w:ascii="Arial Nova" w:eastAsia="Arial Unicode MS" w:hAnsi="Arial Nova" w:cs="Geeza Pro"/>
          <w:color w:val="000000"/>
          <w:sz w:val="22"/>
          <w:szCs w:val="22"/>
        </w:rPr>
        <w:t xml:space="preserve"> the Negotiable Instruments Act, 1881 </w:t>
      </w:r>
      <w:r w:rsidRPr="00D57B87">
        <w:rPr>
          <w:rFonts w:ascii="Arial Nova" w:eastAsia="Arial Unicode MS" w:hAnsi="Arial Nova" w:cs="Geeza Pro"/>
          <w:color w:val="000000"/>
          <w:sz w:val="22"/>
          <w:szCs w:val="22"/>
        </w:rPr>
        <w:t>are the basic pre-independence British era commercial law statutes that are still in effect</w:t>
      </w:r>
      <w:r w:rsidR="0010040B" w:rsidRPr="00D57B87">
        <w:rPr>
          <w:rFonts w:ascii="Arial Nova" w:eastAsia="Arial Unicode MS" w:hAnsi="Arial Nova" w:cs="Geeza Pro"/>
          <w:color w:val="000000"/>
          <w:sz w:val="22"/>
          <w:szCs w:val="22"/>
        </w:rPr>
        <w:t xml:space="preserve"> and </w:t>
      </w:r>
      <w:r w:rsidR="004E714C" w:rsidRPr="00D57B87">
        <w:rPr>
          <w:rFonts w:ascii="Arial Nova" w:eastAsia="Arial Unicode MS" w:hAnsi="Arial Nova" w:cs="Geeza Pro"/>
          <w:color w:val="000000"/>
          <w:sz w:val="22"/>
          <w:szCs w:val="22"/>
        </w:rPr>
        <w:t>although substantially based on English law principles</w:t>
      </w:r>
      <w:r w:rsidR="00092A3B" w:rsidRPr="00D57B87">
        <w:rPr>
          <w:rFonts w:ascii="Arial Nova" w:eastAsia="Arial Unicode MS" w:hAnsi="Arial Nova" w:cs="Geeza Pro"/>
          <w:color w:val="000000"/>
          <w:sz w:val="22"/>
          <w:szCs w:val="22"/>
        </w:rPr>
        <w:t>, vary in some respect</w:t>
      </w:r>
      <w:r w:rsidR="007E6AF3" w:rsidRPr="00D57B87">
        <w:rPr>
          <w:rFonts w:ascii="Arial Nova" w:eastAsia="Arial Unicode MS" w:hAnsi="Arial Nova" w:cs="Geeza Pro"/>
          <w:color w:val="000000"/>
          <w:sz w:val="22"/>
          <w:szCs w:val="22"/>
        </w:rPr>
        <w:t xml:space="preserve"> as enacted by the British</w:t>
      </w:r>
      <w:r w:rsidR="00092A3B" w:rsidRPr="00D57B87">
        <w:rPr>
          <w:rFonts w:ascii="Arial Nova" w:eastAsia="Arial Unicode MS" w:hAnsi="Arial Nova" w:cs="Geeza Pro"/>
          <w:color w:val="000000"/>
          <w:sz w:val="22"/>
          <w:szCs w:val="22"/>
        </w:rPr>
        <w:t xml:space="preserve"> to suit Indian conditions</w:t>
      </w:r>
      <w:r w:rsidR="007A5878" w:rsidRPr="00D57B87">
        <w:rPr>
          <w:rFonts w:ascii="Arial Nova" w:eastAsia="Arial Unicode MS" w:hAnsi="Arial Nova" w:cs="Geeza Pro"/>
          <w:color w:val="000000"/>
          <w:sz w:val="22"/>
          <w:szCs w:val="22"/>
        </w:rPr>
        <w:t xml:space="preserve">. </w:t>
      </w:r>
    </w:p>
    <w:p w14:paraId="777F559E" w14:textId="35543EF8" w:rsidR="007A5878" w:rsidRPr="00D57B87" w:rsidRDefault="00114555" w:rsidP="007A5878">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The Indian Contract Act, 1872, is largely based on English common law, but in certain respects the Indian Contract Act, 1872 but deviates from the English common law of contract in some respects</w:t>
      </w:r>
      <w:r w:rsidR="008C58E6" w:rsidRPr="00D57B87">
        <w:rPr>
          <w:rFonts w:ascii="Arial Nova" w:eastAsia="Arial Unicode MS" w:hAnsi="Arial Nova" w:cs="Geeza Pro"/>
          <w:color w:val="000000"/>
          <w:sz w:val="22"/>
          <w:szCs w:val="22"/>
        </w:rPr>
        <w:t xml:space="preserve"> </w:t>
      </w:r>
      <w:r w:rsidR="0054212C" w:rsidRPr="00D57B87">
        <w:rPr>
          <w:rFonts w:ascii="Arial Nova" w:eastAsia="Arial Unicode MS" w:hAnsi="Arial Nova" w:cs="Geeza Pro"/>
          <w:color w:val="000000"/>
          <w:sz w:val="22"/>
          <w:szCs w:val="22"/>
        </w:rPr>
        <w:t>as mentioned above</w:t>
      </w:r>
      <w:r w:rsidRPr="00D57B87">
        <w:rPr>
          <w:rFonts w:ascii="Arial Nova" w:eastAsia="Arial Unicode MS" w:hAnsi="Arial Nova" w:cs="Geeza Pro"/>
          <w:color w:val="000000"/>
          <w:sz w:val="22"/>
          <w:szCs w:val="22"/>
        </w:rPr>
        <w:t>.</w:t>
      </w:r>
      <w:r w:rsidR="00A93102" w:rsidRPr="00D57B87">
        <w:rPr>
          <w:rFonts w:ascii="Arial Nova" w:eastAsia="Arial Unicode MS" w:hAnsi="Arial Nova" w:cs="Geeza Pro"/>
          <w:color w:val="000000"/>
          <w:sz w:val="22"/>
          <w:szCs w:val="22"/>
        </w:rPr>
        <w:t xml:space="preserve"> </w:t>
      </w:r>
      <w:r w:rsidR="00004943" w:rsidRPr="00D57B87">
        <w:rPr>
          <w:rFonts w:ascii="Arial Nova" w:eastAsia="Arial Unicode MS" w:hAnsi="Arial Nova" w:cs="Geeza Pro"/>
          <w:color w:val="000000"/>
          <w:sz w:val="22"/>
          <w:szCs w:val="22"/>
        </w:rPr>
        <w:t>The Revenue Sharing Contract apart from statutory aspects</w:t>
      </w:r>
      <w:r w:rsidR="00CD022B" w:rsidRPr="00D57B87">
        <w:rPr>
          <w:rFonts w:ascii="Arial Nova" w:eastAsia="Arial Unicode MS" w:hAnsi="Arial Nova" w:cs="Geeza Pro"/>
          <w:color w:val="000000"/>
          <w:sz w:val="22"/>
          <w:szCs w:val="22"/>
        </w:rPr>
        <w:t xml:space="preserve"> under the Petroleum Laws</w:t>
      </w:r>
      <w:r w:rsidR="00004943" w:rsidRPr="00D57B87">
        <w:rPr>
          <w:rFonts w:ascii="Arial Nova" w:eastAsia="Arial Unicode MS" w:hAnsi="Arial Nova" w:cs="Geeza Pro"/>
          <w:color w:val="000000"/>
          <w:sz w:val="22"/>
          <w:szCs w:val="22"/>
        </w:rPr>
        <w:t xml:space="preserve"> will be governed by the Indian Contract Act, 1872. </w:t>
      </w:r>
      <w:r w:rsidR="00A93102" w:rsidRPr="00D57B87">
        <w:rPr>
          <w:rFonts w:ascii="Arial Nova" w:eastAsia="Arial Unicode MS" w:hAnsi="Arial Nova" w:cs="Geeza Pro"/>
          <w:color w:val="000000"/>
          <w:sz w:val="22"/>
          <w:szCs w:val="22"/>
        </w:rPr>
        <w:t>The Bank Guarantees</w:t>
      </w:r>
      <w:r w:rsidR="00FD5B7B" w:rsidRPr="00D57B87">
        <w:rPr>
          <w:rFonts w:ascii="Arial Nova" w:eastAsia="Arial Unicode MS" w:hAnsi="Arial Nova" w:cs="Geeza Pro"/>
          <w:color w:val="000000"/>
          <w:sz w:val="22"/>
          <w:szCs w:val="22"/>
        </w:rPr>
        <w:t xml:space="preserve"> and Indemnities will be governed </w:t>
      </w:r>
      <w:r w:rsidR="00E8758B" w:rsidRPr="00D57B87">
        <w:rPr>
          <w:rFonts w:ascii="Arial Nova" w:eastAsia="Arial Unicode MS" w:hAnsi="Arial Nova" w:cs="Geeza Pro"/>
          <w:color w:val="000000"/>
          <w:sz w:val="22"/>
          <w:szCs w:val="22"/>
        </w:rPr>
        <w:t xml:space="preserve">mostly </w:t>
      </w:r>
      <w:r w:rsidR="00FD5B7B" w:rsidRPr="00D57B87">
        <w:rPr>
          <w:rFonts w:ascii="Arial Nova" w:eastAsia="Arial Unicode MS" w:hAnsi="Arial Nova" w:cs="Geeza Pro"/>
          <w:color w:val="000000"/>
          <w:sz w:val="22"/>
          <w:szCs w:val="22"/>
        </w:rPr>
        <w:t xml:space="preserve">by the </w:t>
      </w:r>
      <w:r w:rsidR="00E8758B" w:rsidRPr="00D57B87">
        <w:rPr>
          <w:rFonts w:ascii="Arial Nova" w:eastAsia="Arial Unicode MS" w:hAnsi="Arial Nova" w:cs="Geeza Pro"/>
          <w:color w:val="000000"/>
          <w:sz w:val="22"/>
          <w:szCs w:val="22"/>
        </w:rPr>
        <w:t>Indian Contract Act, 1872.</w:t>
      </w:r>
    </w:p>
    <w:p w14:paraId="1F8BE22C" w14:textId="1C272B1E" w:rsidR="00754D83" w:rsidRPr="00D57B87" w:rsidRDefault="00114555" w:rsidP="00092A3B">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The Indian Sale of Goods Act, 1930, is based on the English Sale of Goods Act, 1893. </w:t>
      </w:r>
      <w:r w:rsidR="004175FC" w:rsidRPr="00D57B87">
        <w:rPr>
          <w:rFonts w:ascii="Arial Nova" w:eastAsia="Arial Unicode MS" w:hAnsi="Arial Nova" w:cs="Geeza Pro"/>
          <w:color w:val="000000"/>
          <w:sz w:val="22"/>
          <w:szCs w:val="22"/>
        </w:rPr>
        <w:t xml:space="preserve">The equipment purchase will be </w:t>
      </w:r>
      <w:r w:rsidR="0010179F" w:rsidRPr="00D57B87">
        <w:rPr>
          <w:rFonts w:ascii="Arial Nova" w:eastAsia="Arial Unicode MS" w:hAnsi="Arial Nova" w:cs="Geeza Pro"/>
          <w:color w:val="000000"/>
          <w:sz w:val="22"/>
          <w:szCs w:val="22"/>
        </w:rPr>
        <w:t xml:space="preserve">mostly </w:t>
      </w:r>
      <w:r w:rsidR="004175FC" w:rsidRPr="00D57B87">
        <w:rPr>
          <w:rFonts w:ascii="Arial Nova" w:eastAsia="Arial Unicode MS" w:hAnsi="Arial Nova" w:cs="Geeza Pro"/>
          <w:color w:val="000000"/>
          <w:sz w:val="22"/>
          <w:szCs w:val="22"/>
        </w:rPr>
        <w:t xml:space="preserve">governed by </w:t>
      </w:r>
      <w:r w:rsidR="007A5878" w:rsidRPr="00D57B87">
        <w:rPr>
          <w:rFonts w:ascii="Arial Nova" w:eastAsia="Arial Unicode MS" w:hAnsi="Arial Nova" w:cs="Geeza Pro"/>
          <w:color w:val="000000"/>
          <w:sz w:val="22"/>
          <w:szCs w:val="22"/>
        </w:rPr>
        <w:t xml:space="preserve">the Indian </w:t>
      </w:r>
      <w:r w:rsidR="0010179F" w:rsidRPr="00D57B87">
        <w:rPr>
          <w:rFonts w:ascii="Arial Nova" w:eastAsia="Arial Unicode MS" w:hAnsi="Arial Nova" w:cs="Geeza Pro"/>
          <w:color w:val="000000"/>
          <w:sz w:val="22"/>
          <w:szCs w:val="22"/>
        </w:rPr>
        <w:t>S</w:t>
      </w:r>
      <w:r w:rsidR="007A5878" w:rsidRPr="00D57B87">
        <w:rPr>
          <w:rFonts w:ascii="Arial Nova" w:eastAsia="Arial Unicode MS" w:hAnsi="Arial Nova" w:cs="Geeza Pro"/>
          <w:color w:val="000000"/>
          <w:sz w:val="22"/>
          <w:szCs w:val="22"/>
        </w:rPr>
        <w:t xml:space="preserve">ale of Goods Act, 1930 and </w:t>
      </w:r>
      <w:r w:rsidR="0010179F" w:rsidRPr="00D57B87">
        <w:rPr>
          <w:rFonts w:ascii="Arial Nova" w:eastAsia="Arial Unicode MS" w:hAnsi="Arial Nova" w:cs="Geeza Pro"/>
          <w:color w:val="000000"/>
          <w:sz w:val="22"/>
          <w:szCs w:val="22"/>
        </w:rPr>
        <w:t>the Indian Contract Act, 1872</w:t>
      </w:r>
      <w:r w:rsidR="0054212C" w:rsidRPr="00D57B87">
        <w:rPr>
          <w:rFonts w:ascii="Arial Nova" w:eastAsia="Arial Unicode MS" w:hAnsi="Arial Nova" w:cs="Geeza Pro"/>
          <w:color w:val="000000"/>
          <w:sz w:val="22"/>
          <w:szCs w:val="22"/>
        </w:rPr>
        <w:t xml:space="preserve">.  </w:t>
      </w:r>
      <w:r w:rsidR="00092A3B" w:rsidRPr="00D57B87">
        <w:rPr>
          <w:rFonts w:ascii="Arial Nova" w:eastAsia="Arial Unicode MS" w:hAnsi="Arial Nova" w:cs="Geeza Pro"/>
          <w:color w:val="000000"/>
          <w:sz w:val="22"/>
          <w:szCs w:val="22"/>
        </w:rPr>
        <w:t>Moreover, the</w:t>
      </w:r>
      <w:r w:rsidR="00F664D7" w:rsidRPr="00D57B87">
        <w:rPr>
          <w:rFonts w:ascii="Arial Nova" w:eastAsia="Arial Unicode MS" w:hAnsi="Arial Nova" w:cs="Geeza Pro"/>
          <w:color w:val="000000"/>
          <w:sz w:val="22"/>
          <w:szCs w:val="22"/>
        </w:rPr>
        <w:t xml:space="preserve">se statutes </w:t>
      </w:r>
      <w:r w:rsidRPr="00D57B87">
        <w:rPr>
          <w:rFonts w:ascii="Arial Nova" w:eastAsia="Arial Unicode MS" w:hAnsi="Arial Nova" w:cs="Geeza Pro"/>
          <w:color w:val="000000"/>
          <w:sz w:val="22"/>
          <w:szCs w:val="22"/>
        </w:rPr>
        <w:t>may not have fully caught up with the statutory and common law developments under English Law.</w:t>
      </w:r>
      <w:r w:rsidR="008930A5" w:rsidRPr="00D57B87">
        <w:rPr>
          <w:rFonts w:ascii="Arial Nova" w:eastAsia="Arial Unicode MS" w:hAnsi="Arial Nova" w:cs="Geeza Pro"/>
          <w:color w:val="000000"/>
          <w:sz w:val="22"/>
          <w:szCs w:val="22"/>
        </w:rPr>
        <w:t xml:space="preserve"> </w:t>
      </w:r>
      <w:r w:rsidR="0025076B" w:rsidRPr="00D57B87">
        <w:rPr>
          <w:rFonts w:ascii="Arial Nova" w:eastAsia="Arial Unicode MS" w:hAnsi="Arial Nova" w:cs="Geeza Pro"/>
          <w:color w:val="000000"/>
          <w:sz w:val="22"/>
          <w:szCs w:val="22"/>
        </w:rPr>
        <w:t>Having said so</w:t>
      </w:r>
      <w:r w:rsidR="00622487" w:rsidRPr="00D57B87">
        <w:rPr>
          <w:rFonts w:ascii="Arial Nova" w:eastAsia="Arial Unicode MS" w:hAnsi="Arial Nova" w:cs="Geeza Pro"/>
          <w:color w:val="000000"/>
          <w:sz w:val="22"/>
          <w:szCs w:val="22"/>
        </w:rPr>
        <w:t xml:space="preserve"> </w:t>
      </w:r>
      <w:r w:rsidR="008930A5" w:rsidRPr="00D57B87">
        <w:rPr>
          <w:rFonts w:ascii="Arial Nova" w:eastAsia="Arial Unicode MS" w:hAnsi="Arial Nova" w:cs="Geeza Pro"/>
          <w:color w:val="000000"/>
          <w:sz w:val="22"/>
          <w:szCs w:val="22"/>
        </w:rPr>
        <w:t xml:space="preserve">English Court rulings have a great </w:t>
      </w:r>
      <w:r w:rsidR="00EE2FAC" w:rsidRPr="00D57B87">
        <w:rPr>
          <w:rFonts w:ascii="Arial Nova" w:eastAsia="Arial Unicode MS" w:hAnsi="Arial Nova" w:cs="Geeza Pro"/>
          <w:color w:val="000000"/>
          <w:sz w:val="22"/>
          <w:szCs w:val="22"/>
        </w:rPr>
        <w:t xml:space="preserve">persuasive </w:t>
      </w:r>
      <w:r w:rsidR="008930A5" w:rsidRPr="00D57B87">
        <w:rPr>
          <w:rFonts w:ascii="Arial Nova" w:eastAsia="Arial Unicode MS" w:hAnsi="Arial Nova" w:cs="Geeza Pro"/>
          <w:color w:val="000000"/>
          <w:sz w:val="22"/>
          <w:szCs w:val="22"/>
        </w:rPr>
        <w:t>value</w:t>
      </w:r>
      <w:r w:rsidR="00EE2FAC" w:rsidRPr="00D57B87">
        <w:rPr>
          <w:rFonts w:ascii="Arial Nova" w:eastAsia="Arial Unicode MS" w:hAnsi="Arial Nova" w:cs="Geeza Pro"/>
          <w:color w:val="000000"/>
          <w:sz w:val="22"/>
          <w:szCs w:val="22"/>
        </w:rPr>
        <w:t xml:space="preserve"> before the </w:t>
      </w:r>
      <w:r w:rsidR="00587217" w:rsidRPr="00D57B87">
        <w:rPr>
          <w:rFonts w:ascii="Arial Nova" w:eastAsia="Arial Unicode MS" w:hAnsi="Arial Nova" w:cs="Geeza Pro"/>
          <w:color w:val="000000"/>
          <w:sz w:val="22"/>
          <w:szCs w:val="22"/>
        </w:rPr>
        <w:t>Indian</w:t>
      </w:r>
      <w:r w:rsidR="00EE2FAC" w:rsidRPr="00D57B87">
        <w:rPr>
          <w:rFonts w:ascii="Arial Nova" w:eastAsia="Arial Unicode MS" w:hAnsi="Arial Nova" w:cs="Geeza Pro"/>
          <w:color w:val="000000"/>
          <w:sz w:val="22"/>
          <w:szCs w:val="22"/>
        </w:rPr>
        <w:t xml:space="preserve"> Courts</w:t>
      </w:r>
      <w:r w:rsidR="00622487" w:rsidRPr="00D57B87">
        <w:rPr>
          <w:rFonts w:ascii="Arial Nova" w:eastAsia="Arial Unicode MS" w:hAnsi="Arial Nova" w:cs="Geeza Pro"/>
          <w:color w:val="000000"/>
          <w:sz w:val="22"/>
          <w:szCs w:val="22"/>
        </w:rPr>
        <w:t>.</w:t>
      </w:r>
      <w:r w:rsidR="008930A5" w:rsidRPr="00D57B87">
        <w:rPr>
          <w:rFonts w:ascii="Arial Nova" w:eastAsia="Arial Unicode MS" w:hAnsi="Arial Nova" w:cs="Geeza Pro"/>
          <w:color w:val="000000"/>
          <w:sz w:val="22"/>
          <w:szCs w:val="22"/>
        </w:rPr>
        <w:t xml:space="preserve"> </w:t>
      </w:r>
    </w:p>
    <w:p w14:paraId="5031F31F" w14:textId="5C1311AB" w:rsidR="00B94D46" w:rsidRPr="00D57B87" w:rsidRDefault="00114555" w:rsidP="007A5878">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However, the law of torts (</w:t>
      </w:r>
      <w:r w:rsidR="000C55EE" w:rsidRPr="00D57B87">
        <w:rPr>
          <w:rFonts w:ascii="Arial Nova" w:eastAsia="Arial Unicode MS" w:hAnsi="Arial Nova" w:cs="Geeza Pro"/>
          <w:color w:val="000000"/>
          <w:sz w:val="22"/>
          <w:szCs w:val="22"/>
        </w:rPr>
        <w:t xml:space="preserve">i.e. law of </w:t>
      </w:r>
      <w:r w:rsidRPr="00D57B87">
        <w:rPr>
          <w:rFonts w:ascii="Arial Nova" w:eastAsia="Arial Unicode MS" w:hAnsi="Arial Nova" w:cs="Geeza Pro"/>
          <w:color w:val="000000"/>
          <w:sz w:val="22"/>
          <w:szCs w:val="22"/>
        </w:rPr>
        <w:t>civil wrongs)</w:t>
      </w:r>
      <w:r w:rsidR="00231707" w:rsidRPr="00D57B87">
        <w:rPr>
          <w:rFonts w:ascii="Arial Nova" w:eastAsia="Arial Unicode MS" w:hAnsi="Arial Nova" w:cs="Geeza Pro"/>
          <w:color w:val="000000"/>
          <w:sz w:val="22"/>
          <w:szCs w:val="22"/>
        </w:rPr>
        <w:t xml:space="preserve">, particularly negligence </w:t>
      </w:r>
      <w:r w:rsidRPr="00D57B87">
        <w:rPr>
          <w:rFonts w:ascii="Arial Nova" w:eastAsia="Arial Unicode MS" w:hAnsi="Arial Nova" w:cs="Geeza Pro"/>
          <w:color w:val="000000"/>
          <w:sz w:val="22"/>
          <w:szCs w:val="22"/>
        </w:rPr>
        <w:t xml:space="preserve">is </w:t>
      </w:r>
      <w:r w:rsidR="00231707" w:rsidRPr="00D57B87">
        <w:rPr>
          <w:rFonts w:ascii="Arial Nova" w:eastAsia="Arial Unicode MS" w:hAnsi="Arial Nova" w:cs="Geeza Pro"/>
          <w:color w:val="000000"/>
          <w:sz w:val="22"/>
          <w:szCs w:val="22"/>
        </w:rPr>
        <w:t>mostly the same</w:t>
      </w:r>
      <w:r w:rsidR="000C55EE" w:rsidRPr="00D57B87">
        <w:rPr>
          <w:rFonts w:ascii="Arial Nova" w:eastAsia="Arial Unicode MS" w:hAnsi="Arial Nova" w:cs="Geeza Pro"/>
          <w:color w:val="000000"/>
          <w:sz w:val="22"/>
          <w:szCs w:val="22"/>
        </w:rPr>
        <w:t xml:space="preserve"> as the English law of torts</w:t>
      </w:r>
      <w:r w:rsidR="00231707" w:rsidRPr="00D57B87">
        <w:rPr>
          <w:rFonts w:ascii="Arial Nova" w:eastAsia="Arial Unicode MS" w:hAnsi="Arial Nova" w:cs="Geeza Pro"/>
          <w:color w:val="000000"/>
          <w:sz w:val="22"/>
          <w:szCs w:val="22"/>
        </w:rPr>
        <w:t xml:space="preserve">. </w:t>
      </w:r>
      <w:r w:rsidR="000C55EE" w:rsidRPr="00D57B87">
        <w:rPr>
          <w:rFonts w:ascii="Arial Nova" w:eastAsia="Arial Unicode MS" w:hAnsi="Arial Nova" w:cs="Geeza Pro"/>
          <w:color w:val="000000"/>
          <w:sz w:val="22"/>
          <w:szCs w:val="22"/>
        </w:rPr>
        <w:t xml:space="preserve">Although </w:t>
      </w:r>
      <w:r w:rsidR="0025076B" w:rsidRPr="00D57B87">
        <w:rPr>
          <w:rFonts w:ascii="Arial Nova" w:eastAsia="Arial Unicode MS" w:hAnsi="Arial Nova" w:cs="Geeza Pro"/>
          <w:color w:val="000000"/>
          <w:sz w:val="22"/>
          <w:szCs w:val="22"/>
        </w:rPr>
        <w:t>Indian Conflict of Law</w:t>
      </w:r>
      <w:r w:rsidR="0025076B" w:rsidRPr="00D57B87">
        <w:rPr>
          <w:rFonts w:ascii="Arial Nova" w:eastAsia="Arial Unicode MS" w:hAnsi="Arial Nova" w:cs="Geeza Pro"/>
          <w:color w:val="000000"/>
          <w:sz w:val="22"/>
          <w:szCs w:val="22"/>
        </w:rPr>
        <w:t xml:space="preserve">s </w:t>
      </w:r>
      <w:r w:rsidR="000C55EE" w:rsidRPr="00D57B87">
        <w:rPr>
          <w:rFonts w:ascii="Arial Nova" w:eastAsia="Arial Unicode MS" w:hAnsi="Arial Nova" w:cs="Geeza Pro"/>
          <w:color w:val="000000"/>
          <w:sz w:val="22"/>
          <w:szCs w:val="22"/>
        </w:rPr>
        <w:t xml:space="preserve">largely draws from the </w:t>
      </w:r>
      <w:r w:rsidR="00911C1D" w:rsidRPr="00D57B87">
        <w:rPr>
          <w:rFonts w:ascii="Arial Nova" w:eastAsia="Arial Unicode MS" w:hAnsi="Arial Nova" w:cs="Geeza Pro"/>
          <w:color w:val="000000"/>
          <w:sz w:val="22"/>
          <w:szCs w:val="22"/>
        </w:rPr>
        <w:t>English Conflict of Law rules</w:t>
      </w:r>
      <w:r w:rsidR="00206B46" w:rsidRPr="00D57B87">
        <w:rPr>
          <w:rFonts w:ascii="Arial Nova" w:eastAsia="Arial Unicode MS" w:hAnsi="Arial Nova" w:cs="Geeza Pro"/>
          <w:color w:val="000000"/>
          <w:sz w:val="22"/>
          <w:szCs w:val="22"/>
        </w:rPr>
        <w:t>, the Indian Conflict of Law rules is not the same as the English Conflict of Law rules.</w:t>
      </w:r>
    </w:p>
    <w:p w14:paraId="402357D4" w14:textId="54150D95" w:rsidR="00005C7D" w:rsidRPr="00D57B87" w:rsidRDefault="00114555" w:rsidP="00005C7D">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The Transfer of Property Act, 1882 and the </w:t>
      </w:r>
      <w:r w:rsidR="002F44AD" w:rsidRPr="00D57B87">
        <w:rPr>
          <w:rFonts w:ascii="Arial Nova" w:eastAsia="Arial Unicode MS" w:hAnsi="Arial Nova" w:cs="Geeza Pro"/>
          <w:color w:val="000000"/>
          <w:sz w:val="22"/>
          <w:szCs w:val="22"/>
        </w:rPr>
        <w:t xml:space="preserve">Indian Easements Act, 1881 relating to the </w:t>
      </w:r>
      <w:r w:rsidR="004F4707" w:rsidRPr="00D57B87">
        <w:rPr>
          <w:rFonts w:ascii="Arial Nova" w:eastAsia="Arial Unicode MS" w:hAnsi="Arial Nova" w:cs="Geeza Pro"/>
          <w:color w:val="000000"/>
          <w:sz w:val="22"/>
          <w:szCs w:val="22"/>
        </w:rPr>
        <w:t xml:space="preserve">sale and </w:t>
      </w:r>
      <w:r w:rsidR="002F44AD" w:rsidRPr="00D57B87">
        <w:rPr>
          <w:rFonts w:ascii="Arial Nova" w:eastAsia="Arial Unicode MS" w:hAnsi="Arial Nova" w:cs="Geeza Pro"/>
          <w:color w:val="000000"/>
          <w:sz w:val="22"/>
          <w:szCs w:val="22"/>
        </w:rPr>
        <w:t xml:space="preserve">purchase, </w:t>
      </w:r>
      <w:r w:rsidR="004F4707" w:rsidRPr="00D57B87">
        <w:rPr>
          <w:rFonts w:ascii="Arial Nova" w:eastAsia="Arial Unicode MS" w:hAnsi="Arial Nova" w:cs="Geeza Pro"/>
          <w:color w:val="000000"/>
          <w:sz w:val="22"/>
          <w:szCs w:val="22"/>
        </w:rPr>
        <w:t>mortgage, lease and license</w:t>
      </w:r>
      <w:r w:rsidR="00203675" w:rsidRPr="00D57B87">
        <w:rPr>
          <w:rFonts w:ascii="Arial Nova" w:eastAsia="Arial Unicode MS" w:hAnsi="Arial Nova" w:cs="Geeza Pro"/>
          <w:color w:val="000000"/>
          <w:sz w:val="22"/>
          <w:szCs w:val="22"/>
        </w:rPr>
        <w:t xml:space="preserve"> of</w:t>
      </w:r>
      <w:r w:rsidR="002F44AD" w:rsidRPr="00D57B87">
        <w:rPr>
          <w:rFonts w:ascii="Arial Nova" w:eastAsia="Arial Unicode MS" w:hAnsi="Arial Nova" w:cs="Geeza Pro"/>
          <w:color w:val="000000"/>
          <w:sz w:val="22"/>
          <w:szCs w:val="22"/>
        </w:rPr>
        <w:t xml:space="preserve"> </w:t>
      </w:r>
      <w:r w:rsidR="00203675" w:rsidRPr="00D57B87">
        <w:rPr>
          <w:rFonts w:ascii="Arial Nova" w:eastAsia="Arial Unicode MS" w:hAnsi="Arial Nova" w:cs="Geeza Pro"/>
          <w:color w:val="000000"/>
          <w:sz w:val="22"/>
          <w:szCs w:val="22"/>
        </w:rPr>
        <w:t xml:space="preserve">land and </w:t>
      </w:r>
      <w:r w:rsidR="002F44AD" w:rsidRPr="00D57B87">
        <w:rPr>
          <w:rFonts w:ascii="Arial Nova" w:eastAsia="Arial Unicode MS" w:hAnsi="Arial Nova" w:cs="Geeza Pro"/>
          <w:color w:val="000000"/>
          <w:sz w:val="22"/>
          <w:szCs w:val="22"/>
        </w:rPr>
        <w:t>real estate</w:t>
      </w:r>
      <w:r w:rsidR="00203675" w:rsidRPr="00D57B87">
        <w:rPr>
          <w:rFonts w:ascii="Arial Nova" w:eastAsia="Arial Unicode MS" w:hAnsi="Arial Nova" w:cs="Geeza Pro"/>
          <w:color w:val="000000"/>
          <w:sz w:val="22"/>
          <w:szCs w:val="22"/>
        </w:rPr>
        <w:t xml:space="preserve">. </w:t>
      </w:r>
      <w:r w:rsidR="00152F66" w:rsidRPr="00D57B87">
        <w:rPr>
          <w:rFonts w:ascii="Arial Nova" w:eastAsia="Arial Unicode MS" w:hAnsi="Arial Nova" w:cs="Geeza Pro"/>
          <w:color w:val="000000"/>
          <w:sz w:val="22"/>
          <w:szCs w:val="22"/>
        </w:rPr>
        <w:t xml:space="preserve">These statutes </w:t>
      </w:r>
      <w:r w:rsidR="000D685A" w:rsidRPr="00D57B87">
        <w:rPr>
          <w:rFonts w:ascii="Arial Nova" w:eastAsia="Arial Unicode MS" w:hAnsi="Arial Nova" w:cs="Geeza Pro"/>
          <w:color w:val="000000"/>
          <w:sz w:val="22"/>
          <w:szCs w:val="22"/>
        </w:rPr>
        <w:t xml:space="preserve">will most apply </w:t>
      </w:r>
      <w:r w:rsidR="00152F66" w:rsidRPr="00D57B87">
        <w:rPr>
          <w:rFonts w:ascii="Arial Nova" w:eastAsia="Arial Unicode MS" w:hAnsi="Arial Nova" w:cs="Geeza Pro"/>
          <w:color w:val="000000"/>
          <w:sz w:val="22"/>
          <w:szCs w:val="22"/>
        </w:rPr>
        <w:t xml:space="preserve">to the surface rights. </w:t>
      </w:r>
      <w:r w:rsidR="00822F06" w:rsidRPr="00D57B87">
        <w:rPr>
          <w:rFonts w:ascii="Arial Nova" w:eastAsia="Arial Unicode MS" w:hAnsi="Arial Nova" w:cs="Geeza Pro"/>
          <w:color w:val="000000"/>
          <w:sz w:val="22"/>
          <w:szCs w:val="22"/>
        </w:rPr>
        <w:t xml:space="preserve">Petroleum Exploration </w:t>
      </w:r>
      <w:r w:rsidR="00822F06" w:rsidRPr="00D57B87">
        <w:rPr>
          <w:rFonts w:ascii="Arial Nova" w:eastAsia="Arial Unicode MS" w:hAnsi="Arial Nova" w:cs="Geeza Pro"/>
          <w:color w:val="000000"/>
          <w:sz w:val="22"/>
          <w:szCs w:val="22"/>
        </w:rPr>
        <w:lastRenderedPageBreak/>
        <w:t>License (PEL) and Petroleum Mining Lease (PML) </w:t>
      </w:r>
      <w:r w:rsidR="005E047C" w:rsidRPr="00D57B87">
        <w:rPr>
          <w:rFonts w:ascii="Arial Nova" w:eastAsia="Arial Unicode MS" w:hAnsi="Arial Nova" w:cs="Geeza Pro"/>
          <w:color w:val="000000"/>
          <w:sz w:val="22"/>
          <w:szCs w:val="22"/>
        </w:rPr>
        <w:t>are granted under</w:t>
      </w:r>
      <w:r w:rsidR="005B45EA" w:rsidRPr="00D57B87">
        <w:rPr>
          <w:rFonts w:ascii="Arial Nova" w:eastAsia="Arial Unicode MS" w:hAnsi="Arial Nova" w:cs="Geeza Pro"/>
          <w:color w:val="000000"/>
          <w:sz w:val="22"/>
          <w:szCs w:val="22"/>
        </w:rPr>
        <w:t xml:space="preserve"> and governed by</w:t>
      </w:r>
      <w:r w:rsidR="005E047C" w:rsidRPr="00D57B87">
        <w:rPr>
          <w:rFonts w:ascii="Arial Nova" w:eastAsia="Arial Unicode MS" w:hAnsi="Arial Nova" w:cs="Geeza Pro"/>
          <w:color w:val="000000"/>
          <w:sz w:val="22"/>
          <w:szCs w:val="22"/>
        </w:rPr>
        <w:t xml:space="preserve"> </w:t>
      </w:r>
      <w:r w:rsidR="00090E15" w:rsidRPr="00D57B87">
        <w:rPr>
          <w:rFonts w:ascii="Arial Nova" w:eastAsia="Arial Unicode MS" w:hAnsi="Arial Nova" w:cs="Geeza Pro"/>
          <w:color w:val="000000"/>
          <w:sz w:val="22"/>
          <w:szCs w:val="22"/>
        </w:rPr>
        <w:t xml:space="preserve">the Petroleum Laws </w:t>
      </w:r>
      <w:r w:rsidR="005B45EA" w:rsidRPr="00D57B87">
        <w:rPr>
          <w:rFonts w:ascii="Arial Nova" w:eastAsia="Arial Unicode MS" w:hAnsi="Arial Nova" w:cs="Geeza Pro"/>
          <w:color w:val="000000"/>
          <w:sz w:val="22"/>
          <w:szCs w:val="22"/>
        </w:rPr>
        <w:t>indicated</w:t>
      </w:r>
      <w:r w:rsidR="00090E15" w:rsidRPr="00D57B87">
        <w:rPr>
          <w:rFonts w:ascii="Arial Nova" w:eastAsia="Arial Unicode MS" w:hAnsi="Arial Nova" w:cs="Geeza Pro"/>
          <w:color w:val="000000"/>
          <w:sz w:val="22"/>
          <w:szCs w:val="22"/>
        </w:rPr>
        <w:t xml:space="preserve"> below.</w:t>
      </w:r>
    </w:p>
    <w:p w14:paraId="29CFCF1C" w14:textId="77777777" w:rsidR="00E94105" w:rsidRPr="00D57B87" w:rsidRDefault="00114555" w:rsidP="00E94105">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T</w:t>
      </w:r>
      <w:r w:rsidR="00E73602" w:rsidRPr="00D57B87">
        <w:rPr>
          <w:rFonts w:ascii="Arial Nova" w:eastAsia="Arial Unicode MS" w:hAnsi="Arial Nova" w:cs="Geeza Pro"/>
          <w:color w:val="000000"/>
          <w:sz w:val="22"/>
          <w:szCs w:val="22"/>
        </w:rPr>
        <w:t>he Law of Evidence is codified into three statutes. The Indian Evidence Act, 1872 consolidates, defines, and amends the law of evidence and applies both criminal and civil trials. Apart from the Indian Evidence Act, 1872, the Bankers</w:t>
      </w:r>
      <w:r w:rsidR="00E73602" w:rsidRPr="00D57B87">
        <w:rPr>
          <w:rFonts w:ascii="Arial Nova" w:eastAsia="Arial Unicode MS" w:hAnsi="Arial Nova"/>
          <w:color w:val="000000"/>
          <w:sz w:val="22"/>
          <w:szCs w:val="22"/>
        </w:rPr>
        <w:t>’</w:t>
      </w:r>
      <w:r w:rsidR="00E73602" w:rsidRPr="00D57B87">
        <w:rPr>
          <w:rFonts w:ascii="Arial Nova" w:eastAsia="Arial Unicode MS" w:hAnsi="Arial Nova" w:cs="Geeza Pro"/>
          <w:color w:val="000000"/>
          <w:sz w:val="22"/>
          <w:szCs w:val="22"/>
        </w:rPr>
        <w:t xml:space="preserve"> Books Evidence Act, 1891, the Commercial Documents Evidence Act, 1939 are also other statutes that deal with the matter of other aspects of law evidence.  </w:t>
      </w:r>
    </w:p>
    <w:p w14:paraId="1170D94F" w14:textId="4102619F" w:rsidR="00E73602" w:rsidRPr="00D57B87" w:rsidRDefault="00114555" w:rsidP="00E94105">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Dispute resolution by arbitration is not unknown to India. The method of resolution of a dispute by arbitration was made possible in the latter part of the eighteenth century during the British rule in some parts of India. The current Indian Arbitration &amp; Conciliation Act, 1996 is the </w:t>
      </w:r>
      <w:r w:rsidR="00E94105" w:rsidRPr="00D57B87">
        <w:rPr>
          <w:rFonts w:ascii="Arial Nova" w:eastAsia="Arial Unicode MS" w:hAnsi="Arial Nova" w:cs="Geeza Pro"/>
          <w:color w:val="000000"/>
          <w:sz w:val="22"/>
          <w:szCs w:val="22"/>
        </w:rPr>
        <w:t xml:space="preserve">arbitration </w:t>
      </w:r>
      <w:r w:rsidRPr="00D57B87">
        <w:rPr>
          <w:rFonts w:ascii="Arial Nova" w:eastAsia="Arial Unicode MS" w:hAnsi="Arial Nova" w:cs="Geeza Pro"/>
          <w:color w:val="000000"/>
          <w:sz w:val="22"/>
          <w:szCs w:val="22"/>
        </w:rPr>
        <w:t xml:space="preserve">statute that is substantially based on UNCITRAL Model Arbitration Law. </w:t>
      </w:r>
      <w:r w:rsidR="00C366EB" w:rsidRPr="00D57B87">
        <w:rPr>
          <w:rFonts w:ascii="Arial Nova" w:eastAsia="Arial Unicode MS" w:hAnsi="Arial Nova" w:cs="Geeza Pro"/>
          <w:color w:val="000000"/>
          <w:sz w:val="22"/>
          <w:szCs w:val="22"/>
        </w:rPr>
        <w:t xml:space="preserve">India is a signatory to </w:t>
      </w:r>
      <w:r w:rsidR="009A052D" w:rsidRPr="00D57B87">
        <w:rPr>
          <w:rFonts w:ascii="Arial Nova" w:eastAsia="Arial Unicode MS" w:hAnsi="Arial Nova" w:cs="Geeza Pro"/>
          <w:color w:val="000000"/>
          <w:sz w:val="22"/>
          <w:szCs w:val="22"/>
        </w:rPr>
        <w:t xml:space="preserve">and has ratified </w:t>
      </w:r>
      <w:r w:rsidR="00C366EB" w:rsidRPr="00D57B87">
        <w:rPr>
          <w:rFonts w:ascii="Arial Nova" w:eastAsia="Arial Unicode MS" w:hAnsi="Arial Nova" w:cs="Geeza Pro"/>
          <w:color w:val="000000"/>
          <w:sz w:val="22"/>
          <w:szCs w:val="22"/>
        </w:rPr>
        <w:t>the</w:t>
      </w:r>
      <w:r w:rsidR="00805F97" w:rsidRPr="00D57B87">
        <w:rPr>
          <w:rFonts w:ascii="Arial Nova" w:eastAsia="Arial Unicode MS" w:hAnsi="Arial Nova" w:cs="Geeza Pro"/>
          <w:color w:val="000000"/>
          <w:sz w:val="22"/>
          <w:szCs w:val="22"/>
        </w:rPr>
        <w:t xml:space="preserve"> Geneva Convention and the</w:t>
      </w:r>
      <w:r w:rsidR="00C366EB" w:rsidRPr="00D57B87">
        <w:rPr>
          <w:rFonts w:ascii="Arial Nova" w:eastAsia="Arial Unicode MS" w:hAnsi="Arial Nova" w:cs="Geeza Pro"/>
          <w:color w:val="000000"/>
          <w:sz w:val="22"/>
          <w:szCs w:val="22"/>
        </w:rPr>
        <w:t xml:space="preserve"> New York Convention</w:t>
      </w:r>
      <w:r w:rsidR="00805F97" w:rsidRPr="00D57B87">
        <w:rPr>
          <w:rFonts w:ascii="Arial Nova" w:eastAsia="Arial Unicode MS" w:hAnsi="Arial Nova" w:cs="Geeza Pro"/>
          <w:color w:val="000000"/>
          <w:sz w:val="22"/>
          <w:szCs w:val="22"/>
        </w:rPr>
        <w:t xml:space="preserve"> relating to the enforcement of foreign awards</w:t>
      </w:r>
      <w:r w:rsidR="009A052D" w:rsidRPr="00D57B87">
        <w:rPr>
          <w:rFonts w:ascii="Arial Nova" w:eastAsia="Arial Unicode MS" w:hAnsi="Arial Nova" w:cs="Geeza Pro"/>
          <w:color w:val="000000"/>
          <w:sz w:val="22"/>
          <w:szCs w:val="22"/>
        </w:rPr>
        <w:t xml:space="preserve">. </w:t>
      </w:r>
      <w:r w:rsidR="00ED2101" w:rsidRPr="00D57B87">
        <w:rPr>
          <w:rFonts w:ascii="Arial Nova" w:eastAsia="Arial Unicode MS" w:hAnsi="Arial Nova" w:cs="Geeza Pro"/>
          <w:color w:val="000000"/>
          <w:sz w:val="22"/>
          <w:szCs w:val="22"/>
        </w:rPr>
        <w:t xml:space="preserve"> </w:t>
      </w:r>
    </w:p>
    <w:p w14:paraId="37FC8512" w14:textId="77777777" w:rsidR="00A64DBB" w:rsidRPr="00D57B87" w:rsidRDefault="00114555" w:rsidP="00552794">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Following is a summary of the Exploration and Production related laws of India. </w:t>
      </w:r>
    </w:p>
    <w:p w14:paraId="2ABA96B8" w14:textId="77777777" w:rsidR="00A64DBB" w:rsidRPr="00D57B87" w:rsidRDefault="00114555" w:rsidP="00A64DBB">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The Petroleum Act, 1934 is consolidating and amending statute relating to the import, transport, storage, production, refining and blending of petroleum. </w:t>
      </w:r>
    </w:p>
    <w:p w14:paraId="5A5B224D" w14:textId="4001BDF6" w:rsidR="00A64DBB" w:rsidRPr="00D57B87" w:rsidRDefault="00114555" w:rsidP="00A64DBB">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Apart from the Petroleum Act, 1934</w:t>
      </w:r>
      <w:r w:rsidR="00290EE6" w:rsidRPr="00D57B87">
        <w:rPr>
          <w:rFonts w:ascii="Arial Nova" w:eastAsia="Arial Unicode MS" w:hAnsi="Arial Nova" w:cs="Geeza Pro"/>
          <w:color w:val="000000"/>
          <w:sz w:val="22"/>
          <w:szCs w:val="22"/>
        </w:rPr>
        <w:t xml:space="preserve"> and</w:t>
      </w:r>
      <w:r w:rsidRPr="00D57B87">
        <w:rPr>
          <w:rFonts w:ascii="Arial Nova" w:eastAsia="Arial Unicode MS" w:hAnsi="Arial Nova" w:cs="Geeza Pro"/>
          <w:color w:val="000000"/>
          <w:sz w:val="22"/>
          <w:szCs w:val="22"/>
        </w:rPr>
        <w:t xml:space="preserve"> the Oilfields (Regulation and Development) Act, 1948 is a statute that regulates oilfields and provides for the development of mineral oil resources. </w:t>
      </w:r>
      <w:r w:rsidR="00822F06" w:rsidRPr="00D57B87">
        <w:rPr>
          <w:rFonts w:ascii="Arial Nova" w:eastAsia="Arial Unicode MS" w:hAnsi="Arial Nova" w:cs="Geeza Pro"/>
          <w:color w:val="000000"/>
          <w:sz w:val="22"/>
          <w:szCs w:val="22"/>
        </w:rPr>
        <w:t>The Petroleum Exploration License (PEL) is normally granted for 3 years and Petroleum Mining Lease (PML) is normally awarded for 20 years for producing hydrocarbons as per The Oilfields Regulation &amp; Development Act, 1948 and Petroleum and Natural Gas Rules, 1959.</w:t>
      </w:r>
    </w:p>
    <w:p w14:paraId="2AF1C8BD" w14:textId="77777777" w:rsidR="00A64DBB" w:rsidRPr="00D57B87" w:rsidRDefault="00114555" w:rsidP="00A64DBB">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The</w:t>
      </w:r>
      <w:r w:rsidR="00AF2581" w:rsidRPr="00D57B87">
        <w:rPr>
          <w:rFonts w:ascii="Arial Nova" w:eastAsia="Arial Unicode MS" w:hAnsi="Arial Nova" w:cs="Geeza Pro"/>
          <w:color w:val="000000"/>
          <w:sz w:val="22"/>
          <w:szCs w:val="22"/>
        </w:rPr>
        <w:t xml:space="preserve"> Petroleum and Natural Gas Regulatory Board Act, 2006 is a statute that provides for the establishment of the Petroleum and Natural Gas Regulatory Board (PNGRB) to regulate the refining, processing, storage, transportation, distribution, marketing and sale of petroleum, petroleum products and natural gas excluding production of crude oil and natural gas to protect the interests of consumers and entities engaged in specified activities relating to petroleum, petroleum products and natural gas and to ensure uninterrupted and adequate supply of petroleum, petroleum products and natural gas in all parts of the country and to promote competitive markets and for matters connected or incidental thereto. </w:t>
      </w:r>
    </w:p>
    <w:p w14:paraId="35377152" w14:textId="77777777" w:rsidR="00D57B87" w:rsidRPr="00D57B87" w:rsidRDefault="00114555" w:rsidP="00A64DBB">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lastRenderedPageBreak/>
        <w:t xml:space="preserve">The </w:t>
      </w:r>
      <w:r w:rsidR="00415285" w:rsidRPr="00D57B87">
        <w:rPr>
          <w:rFonts w:ascii="Arial Nova" w:eastAsia="Arial Unicode MS" w:hAnsi="Arial Nova" w:cs="Geeza Pro"/>
          <w:color w:val="000000"/>
          <w:sz w:val="22"/>
          <w:szCs w:val="22"/>
        </w:rPr>
        <w:t>Oil Industry (Development) Act, 1974</w:t>
      </w:r>
      <w:r w:rsidRPr="00D57B87">
        <w:rPr>
          <w:rFonts w:ascii="Arial Nova" w:eastAsia="Arial Unicode MS" w:hAnsi="Arial Nova" w:cs="Geeza Pro"/>
          <w:color w:val="000000"/>
          <w:sz w:val="22"/>
          <w:szCs w:val="22"/>
        </w:rPr>
        <w:t xml:space="preserve"> is a statute enacted to provide for the establishment of the </w:t>
      </w:r>
      <w:r w:rsidR="00653226" w:rsidRPr="00D57B87">
        <w:rPr>
          <w:rFonts w:ascii="Arial Nova" w:eastAsia="Arial Unicode MS" w:hAnsi="Arial Nova" w:cs="Geeza Pro"/>
          <w:color w:val="000000"/>
          <w:sz w:val="22"/>
          <w:szCs w:val="22"/>
        </w:rPr>
        <w:t>Oil Industry Development Board</w:t>
      </w:r>
      <w:r w:rsidR="00CF1388" w:rsidRPr="00D57B87">
        <w:rPr>
          <w:rFonts w:ascii="Arial Nova" w:eastAsia="Arial Unicode MS" w:hAnsi="Arial Nova" w:cs="Geeza Pro"/>
          <w:color w:val="000000"/>
          <w:sz w:val="22"/>
          <w:szCs w:val="22"/>
        </w:rPr>
        <w:t xml:space="preserve"> (OIDB)</w:t>
      </w:r>
      <w:r w:rsidRPr="00D57B87">
        <w:rPr>
          <w:rFonts w:ascii="Arial Nova" w:eastAsia="Arial Unicode MS" w:hAnsi="Arial Nova" w:cs="Geeza Pro"/>
          <w:color w:val="000000"/>
          <w:sz w:val="22"/>
          <w:szCs w:val="22"/>
        </w:rPr>
        <w:t xml:space="preserve"> for the development of the oil industry and for</w:t>
      </w:r>
      <w:r w:rsidR="00091330" w:rsidRPr="00D57B87">
        <w:rPr>
          <w:rFonts w:ascii="Arial Nova" w:eastAsia="Arial Unicode MS" w:hAnsi="Arial Nova" w:cs="Geeza Pro"/>
          <w:color w:val="000000"/>
          <w:sz w:val="22"/>
          <w:szCs w:val="22"/>
        </w:rPr>
        <w:t xml:space="preserve"> </w:t>
      </w:r>
      <w:r w:rsidRPr="00D57B87">
        <w:rPr>
          <w:rFonts w:ascii="Arial Nova" w:eastAsia="Arial Unicode MS" w:hAnsi="Arial Nova" w:cs="Geeza Pro"/>
          <w:color w:val="000000"/>
          <w:sz w:val="22"/>
          <w:szCs w:val="22"/>
        </w:rPr>
        <w:t xml:space="preserve">that purpose to levy a duty of excise on crude oil and natural gas and for </w:t>
      </w:r>
      <w:r w:rsidR="00FD1774" w:rsidRPr="00D57B87">
        <w:rPr>
          <w:rFonts w:ascii="Arial Nova" w:eastAsia="Arial Unicode MS" w:hAnsi="Arial Nova" w:cs="Geeza Pro"/>
          <w:color w:val="000000"/>
          <w:sz w:val="22"/>
          <w:szCs w:val="22"/>
        </w:rPr>
        <w:t xml:space="preserve">connected </w:t>
      </w:r>
      <w:r w:rsidRPr="00D57B87">
        <w:rPr>
          <w:rFonts w:ascii="Arial Nova" w:eastAsia="Arial Unicode MS" w:hAnsi="Arial Nova" w:cs="Geeza Pro"/>
          <w:color w:val="000000"/>
          <w:sz w:val="22"/>
          <w:szCs w:val="22"/>
        </w:rPr>
        <w:t>matters</w:t>
      </w:r>
      <w:r w:rsidR="00E3041F" w:rsidRPr="00D57B87">
        <w:rPr>
          <w:rFonts w:ascii="Arial Nova" w:eastAsia="Arial Unicode MS" w:hAnsi="Arial Nova" w:cs="Geeza Pro"/>
          <w:color w:val="000000"/>
          <w:sz w:val="22"/>
          <w:szCs w:val="22"/>
        </w:rPr>
        <w:t xml:space="preserve">. </w:t>
      </w:r>
    </w:p>
    <w:p w14:paraId="33848CA3" w14:textId="77777777" w:rsidR="00D57B87" w:rsidRPr="00D57B87" w:rsidRDefault="00FD1774" w:rsidP="00A64DBB">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OIDB provides the financial and other assistance for the promotion of activities that are conducive to the development of the oil industry, which under the act includes all activities by way of prospecting or exploring for or production of mineral oil, refining, processing, transportation, storage, handling and marketing, of mineral oil production and marketing of all products, down-stream of an oil refinery and all activities directly or indirectly connected therewith</w:t>
      </w:r>
      <w:r w:rsidR="00492A5D" w:rsidRPr="00D57B87">
        <w:rPr>
          <w:rFonts w:ascii="Arial Nova" w:eastAsia="Arial Unicode MS" w:hAnsi="Arial Nova" w:cs="Geeza Pro"/>
          <w:color w:val="000000"/>
          <w:sz w:val="22"/>
          <w:szCs w:val="22"/>
        </w:rPr>
        <w:t>.</w:t>
      </w:r>
    </w:p>
    <w:p w14:paraId="0059133F" w14:textId="7F141723" w:rsidR="00A64DBB" w:rsidRPr="00D57B87" w:rsidRDefault="00492A5D" w:rsidP="00A64DBB">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Section 15 of the Oil Industry (Development) Act, 1974 provides for the collection of cess as a duty of excise on indigenous crude oil and natural gas.</w:t>
      </w:r>
      <w:r w:rsidR="002C06B3" w:rsidRPr="00D57B87">
        <w:rPr>
          <w:rFonts w:ascii="Arial Nova" w:eastAsia="Arial Unicode MS" w:hAnsi="Arial Nova" w:cs="Geeza Pro"/>
          <w:color w:val="000000"/>
          <w:sz w:val="22"/>
          <w:szCs w:val="22"/>
        </w:rPr>
        <w:t xml:space="preserve"> Note that the NIO provides that cess shall not be levied on crude oil production from</w:t>
      </w:r>
      <w:r w:rsidR="001B0DA0" w:rsidRPr="00D57B87">
        <w:rPr>
          <w:rFonts w:ascii="Arial Nova" w:eastAsia="Arial Unicode MS" w:hAnsi="Arial Nova" w:cs="Geeza Pro"/>
          <w:color w:val="000000"/>
          <w:sz w:val="22"/>
          <w:szCs w:val="22"/>
        </w:rPr>
        <w:t xml:space="preserve"> the</w:t>
      </w:r>
      <w:r w:rsidR="00114555" w:rsidRPr="00D57B87">
        <w:rPr>
          <w:rFonts w:ascii="Arial Nova" w:eastAsia="Arial Unicode MS" w:hAnsi="Arial Nova" w:cs="Geeza Pro"/>
          <w:color w:val="000000"/>
          <w:sz w:val="22"/>
          <w:szCs w:val="22"/>
        </w:rPr>
        <w:t xml:space="preserve"> CBM</w:t>
      </w:r>
      <w:r w:rsidR="001B0DA0" w:rsidRPr="00D57B87">
        <w:rPr>
          <w:rFonts w:ascii="Arial Nova" w:eastAsia="Arial Unicode MS" w:hAnsi="Arial Nova" w:cs="Geeza Pro"/>
          <w:color w:val="000000"/>
          <w:sz w:val="22"/>
          <w:szCs w:val="22"/>
        </w:rPr>
        <w:t xml:space="preserve"> </w:t>
      </w:r>
      <w:r w:rsidR="00114555" w:rsidRPr="00D57B87">
        <w:rPr>
          <w:rFonts w:ascii="Arial Nova" w:eastAsia="Arial Unicode MS" w:hAnsi="Arial Nova" w:cs="Geeza Pro"/>
          <w:color w:val="000000"/>
          <w:sz w:val="22"/>
          <w:szCs w:val="22"/>
        </w:rPr>
        <w:t>B</w:t>
      </w:r>
      <w:r w:rsidR="001B0DA0" w:rsidRPr="00D57B87">
        <w:rPr>
          <w:rFonts w:ascii="Arial Nova" w:eastAsia="Arial Unicode MS" w:hAnsi="Arial Nova" w:cs="Geeza Pro"/>
          <w:color w:val="000000"/>
          <w:sz w:val="22"/>
          <w:szCs w:val="22"/>
        </w:rPr>
        <w:t xml:space="preserve">locks. </w:t>
      </w:r>
    </w:p>
    <w:p w14:paraId="7F4899F6" w14:textId="77777777" w:rsidR="00123CF9" w:rsidRPr="00D57B87" w:rsidRDefault="00114555" w:rsidP="00123CF9">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The salient features of the Special CBM Bid Round-2021 as announced by the Indian Government are: </w:t>
      </w:r>
    </w:p>
    <w:p w14:paraId="476757E1" w14:textId="77777777" w:rsidR="00123CF9" w:rsidRPr="00D57B87" w:rsidRDefault="00114555" w:rsidP="00123CF9">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All Blocks are in the Category-III basin, which means that there will be NO revenue sharing till Windfall Gain. The term </w:t>
      </w:r>
      <w:r w:rsidR="00552794" w:rsidRPr="00D57B87">
        <w:rPr>
          <w:rFonts w:ascii="Arial Nova" w:eastAsia="Arial Unicode MS" w:hAnsi="Arial Nova"/>
          <w:color w:val="000000"/>
          <w:sz w:val="22"/>
          <w:szCs w:val="22"/>
        </w:rPr>
        <w:t>“</w:t>
      </w:r>
      <w:r w:rsidRPr="00D57B87">
        <w:rPr>
          <w:rFonts w:ascii="Arial Nova" w:eastAsia="Arial Unicode MS" w:hAnsi="Arial Nova" w:cs="Geeza Pro"/>
          <w:color w:val="000000"/>
          <w:sz w:val="22"/>
          <w:szCs w:val="22"/>
        </w:rPr>
        <w:t>Windfall Gain</w:t>
      </w:r>
      <w:r w:rsidR="00552794" w:rsidRPr="00D57B87">
        <w:rPr>
          <w:rFonts w:ascii="Arial Nova" w:eastAsia="Arial Unicode MS" w:hAnsi="Arial Nova"/>
          <w:color w:val="000000"/>
          <w:sz w:val="22"/>
          <w:szCs w:val="22"/>
        </w:rPr>
        <w:t>”</w:t>
      </w:r>
      <w:r w:rsidRPr="00D57B87">
        <w:rPr>
          <w:rFonts w:ascii="Arial Nova" w:eastAsia="Arial Unicode MS" w:hAnsi="Arial Nova" w:cs="Geeza Pro"/>
          <w:color w:val="000000"/>
          <w:sz w:val="22"/>
          <w:szCs w:val="22"/>
        </w:rPr>
        <w:t xml:space="preserve"> is defined in the MRSC. However, there is an obligation on the successful bidder (Contractor) to share revenue once the Windfall Gain accrues to the Contractor. </w:t>
      </w:r>
    </w:p>
    <w:p w14:paraId="0CF7780D" w14:textId="77777777" w:rsidR="00747296" w:rsidRDefault="00114555" w:rsidP="00123CF9">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If</w:t>
      </w:r>
      <w:r w:rsidR="00926A35" w:rsidRPr="00D57B87">
        <w:rPr>
          <w:rFonts w:ascii="Arial Nova" w:eastAsia="Arial Unicode MS" w:hAnsi="Arial Nova" w:cs="Geeza Pro"/>
          <w:color w:val="000000"/>
          <w:sz w:val="22"/>
          <w:szCs w:val="22"/>
        </w:rPr>
        <w:t xml:space="preserve"> Revenue in a Financial Year is </w:t>
      </w:r>
      <w:r w:rsidR="00C966ED" w:rsidRPr="00D57B87">
        <w:rPr>
          <w:rFonts w:ascii="Arial Nova" w:eastAsia="Arial Unicode MS" w:hAnsi="Arial Nova" w:cs="Geeza Pro"/>
          <w:color w:val="000000"/>
          <w:sz w:val="22"/>
          <w:szCs w:val="22"/>
        </w:rPr>
        <w:t>up to</w:t>
      </w:r>
      <w:r w:rsidR="00926A35" w:rsidRPr="00D57B87">
        <w:rPr>
          <w:rFonts w:ascii="Arial Nova" w:eastAsia="Arial Unicode MS" w:hAnsi="Arial Nova" w:cs="Geeza Pro"/>
          <w:color w:val="000000"/>
          <w:sz w:val="22"/>
          <w:szCs w:val="22"/>
        </w:rPr>
        <w:t xml:space="preserve"> US$ 2.5 billion, then no </w:t>
      </w:r>
      <w:r w:rsidR="00555C03" w:rsidRPr="00D57B87">
        <w:rPr>
          <w:rFonts w:ascii="Arial Nova" w:eastAsia="Arial Unicode MS" w:hAnsi="Arial Nova" w:cs="Geeza Pro"/>
          <w:color w:val="000000"/>
          <w:sz w:val="22"/>
          <w:szCs w:val="22"/>
        </w:rPr>
        <w:t>R</w:t>
      </w:r>
      <w:r w:rsidR="00926A35" w:rsidRPr="00D57B87">
        <w:rPr>
          <w:rFonts w:ascii="Arial Nova" w:eastAsia="Arial Unicode MS" w:hAnsi="Arial Nova" w:cs="Geeza Pro"/>
          <w:color w:val="000000"/>
          <w:sz w:val="22"/>
          <w:szCs w:val="22"/>
        </w:rPr>
        <w:t>evenue is required to be shared</w:t>
      </w:r>
      <w:r w:rsidR="00747296">
        <w:rPr>
          <w:rFonts w:ascii="Arial Nova" w:eastAsia="Arial Unicode MS" w:hAnsi="Arial Nova" w:cs="Geeza Pro"/>
          <w:color w:val="000000"/>
          <w:sz w:val="22"/>
          <w:szCs w:val="22"/>
        </w:rPr>
        <w:t xml:space="preserve"> with Indian Government</w:t>
      </w:r>
      <w:r w:rsidR="00926A35" w:rsidRPr="00D57B87">
        <w:rPr>
          <w:rFonts w:ascii="Arial Nova" w:eastAsia="Arial Unicode MS" w:hAnsi="Arial Nova" w:cs="Geeza Pro"/>
          <w:color w:val="000000"/>
          <w:sz w:val="22"/>
          <w:szCs w:val="22"/>
        </w:rPr>
        <w:t xml:space="preserve">. </w:t>
      </w:r>
    </w:p>
    <w:p w14:paraId="48875415" w14:textId="00FE1D7D" w:rsidR="00522CE2" w:rsidRPr="00D57B87" w:rsidRDefault="00926A35" w:rsidP="00123CF9">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If the Revenue in a Financial Year exceeds the aforesaid threshold</w:t>
      </w:r>
      <w:r w:rsidR="00747296">
        <w:rPr>
          <w:rFonts w:ascii="Arial Nova" w:eastAsia="Arial Unicode MS" w:hAnsi="Arial Nova" w:cs="Geeza Pro"/>
          <w:color w:val="000000"/>
          <w:sz w:val="22"/>
          <w:szCs w:val="22"/>
        </w:rPr>
        <w:t xml:space="preserve"> of</w:t>
      </w:r>
      <w:r w:rsidR="00747296" w:rsidRPr="00747296">
        <w:rPr>
          <w:rFonts w:ascii="Arial Nova" w:eastAsia="Arial Unicode MS" w:hAnsi="Arial Nova" w:cs="Geeza Pro"/>
          <w:color w:val="000000"/>
          <w:sz w:val="22"/>
          <w:szCs w:val="22"/>
        </w:rPr>
        <w:t xml:space="preserve"> </w:t>
      </w:r>
      <w:r w:rsidR="00747296" w:rsidRPr="00D57B87">
        <w:rPr>
          <w:rFonts w:ascii="Arial Nova" w:eastAsia="Arial Unicode MS" w:hAnsi="Arial Nova" w:cs="Geeza Pro"/>
          <w:color w:val="000000"/>
          <w:sz w:val="22"/>
          <w:szCs w:val="22"/>
        </w:rPr>
        <w:t>US$ 2.5 billion</w:t>
      </w:r>
      <w:r w:rsidRPr="00D57B87">
        <w:rPr>
          <w:rFonts w:ascii="Arial Nova" w:eastAsia="Arial Unicode MS" w:hAnsi="Arial Nova" w:cs="Geeza Pro"/>
          <w:color w:val="000000"/>
          <w:sz w:val="22"/>
          <w:szCs w:val="22"/>
        </w:rPr>
        <w:t xml:space="preserve">, then the Contractor will be under obligation to share incremental Revenue in each Financial Year as under: </w:t>
      </w:r>
    </w:p>
    <w:p w14:paraId="01ACFF35" w14:textId="7ABCC452" w:rsidR="00522CE2" w:rsidRPr="00D57B87" w:rsidRDefault="00114555" w:rsidP="00522CE2">
      <w:pPr>
        <w:pStyle w:val="ListParagraph"/>
        <w:numPr>
          <w:ilvl w:val="0"/>
          <w:numId w:val="5"/>
        </w:numPr>
        <w:spacing w:line="360" w:lineRule="exact"/>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10% of Revenue if Revenue is between US$ 2.5 billion and US$ 5.0 </w:t>
      </w:r>
      <w:proofErr w:type="gramStart"/>
      <w:r w:rsidR="00211670" w:rsidRPr="00D57B87">
        <w:rPr>
          <w:rFonts w:ascii="Arial Nova" w:eastAsia="Arial Unicode MS" w:hAnsi="Arial Nova" w:cs="Geeza Pro"/>
          <w:color w:val="000000"/>
          <w:sz w:val="22"/>
          <w:szCs w:val="22"/>
        </w:rPr>
        <w:t>billion;</w:t>
      </w:r>
      <w:proofErr w:type="gramEnd"/>
      <w:r w:rsidRPr="00D57B87">
        <w:rPr>
          <w:rFonts w:ascii="Arial Nova" w:eastAsia="Arial Unicode MS" w:hAnsi="Arial Nova" w:cs="Geeza Pro"/>
          <w:color w:val="000000"/>
          <w:sz w:val="22"/>
          <w:szCs w:val="22"/>
        </w:rPr>
        <w:t xml:space="preserve"> </w:t>
      </w:r>
    </w:p>
    <w:p w14:paraId="250BFFC3" w14:textId="77777777" w:rsidR="00522CE2" w:rsidRPr="00D57B87" w:rsidRDefault="00522CE2" w:rsidP="00522CE2">
      <w:pPr>
        <w:pStyle w:val="ListParagraph"/>
        <w:spacing w:line="360" w:lineRule="exact"/>
        <w:ind w:left="2160"/>
        <w:jc w:val="both"/>
        <w:divId w:val="773524315"/>
        <w:rPr>
          <w:rFonts w:ascii="Arial Nova" w:eastAsia="Arial Unicode MS" w:hAnsi="Arial Nova" w:cs="Geeza Pro"/>
          <w:color w:val="000000"/>
          <w:sz w:val="22"/>
          <w:szCs w:val="22"/>
        </w:rPr>
      </w:pPr>
    </w:p>
    <w:p w14:paraId="677F6BC6" w14:textId="6C4E2C44" w:rsidR="00522CE2" w:rsidRPr="00D57B87" w:rsidRDefault="00114555" w:rsidP="00522CE2">
      <w:pPr>
        <w:pStyle w:val="ListParagraph"/>
        <w:numPr>
          <w:ilvl w:val="0"/>
          <w:numId w:val="5"/>
        </w:numPr>
        <w:spacing w:line="360" w:lineRule="exact"/>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30% of Revenue if the Revenue is between US$ 5 billion and US$ 10 billion in addition to Revenue in (I) above; and </w:t>
      </w:r>
    </w:p>
    <w:p w14:paraId="77C0D037" w14:textId="77777777" w:rsidR="00522CE2" w:rsidRPr="00D57B87" w:rsidRDefault="00522CE2" w:rsidP="00522CE2">
      <w:pPr>
        <w:pStyle w:val="ListParagraph"/>
        <w:spacing w:line="360" w:lineRule="exact"/>
        <w:ind w:left="2160"/>
        <w:jc w:val="both"/>
        <w:divId w:val="773524315"/>
        <w:rPr>
          <w:rFonts w:ascii="Arial Nova" w:eastAsia="Arial Unicode MS" w:hAnsi="Arial Nova" w:cs="Geeza Pro"/>
          <w:color w:val="000000"/>
          <w:sz w:val="22"/>
          <w:szCs w:val="22"/>
        </w:rPr>
      </w:pPr>
    </w:p>
    <w:p w14:paraId="62369F1F" w14:textId="77777777" w:rsidR="0096671F" w:rsidRPr="00D57B87" w:rsidRDefault="00114555" w:rsidP="00522CE2">
      <w:pPr>
        <w:pStyle w:val="ListParagraph"/>
        <w:numPr>
          <w:ilvl w:val="0"/>
          <w:numId w:val="5"/>
        </w:numPr>
        <w:spacing w:line="360" w:lineRule="exact"/>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50% of Revenue if the Revenue exceeds US$ 10 billion in addition to Revenue in (I) and (II) above. </w:t>
      </w:r>
    </w:p>
    <w:p w14:paraId="648342EC" w14:textId="77777777" w:rsidR="0096671F" w:rsidRPr="00D57B87" w:rsidRDefault="0096671F" w:rsidP="0096671F">
      <w:pPr>
        <w:pStyle w:val="ListParagraph"/>
        <w:divId w:val="773524315"/>
        <w:rPr>
          <w:rFonts w:ascii="Arial Nova" w:eastAsia="Arial Unicode MS" w:hAnsi="Arial Nova" w:cs="Geeza Pro"/>
          <w:color w:val="000000"/>
          <w:sz w:val="22"/>
          <w:szCs w:val="22"/>
        </w:rPr>
      </w:pPr>
    </w:p>
    <w:p w14:paraId="270728DD" w14:textId="6A3BA453" w:rsidR="00522CE2" w:rsidRPr="00D57B87" w:rsidRDefault="00114555" w:rsidP="0096671F">
      <w:pPr>
        <w:pStyle w:val="ListParagraph"/>
        <w:numPr>
          <w:ilvl w:val="0"/>
          <w:numId w:val="5"/>
        </w:numPr>
        <w:spacing w:line="360" w:lineRule="exact"/>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Note that Article 15.1 of MRSC defines Revenue. Moreover, Appendix C of MRSC provides as to how the Revenue will be computed. </w:t>
      </w:r>
      <w:r w:rsidR="0096671F" w:rsidRPr="00D57B87">
        <w:rPr>
          <w:rFonts w:ascii="Arial Nova" w:eastAsia="Arial Unicode MS" w:hAnsi="Arial Nova" w:cs="Geeza Pro"/>
          <w:color w:val="000000"/>
          <w:sz w:val="22"/>
          <w:szCs w:val="22"/>
        </w:rPr>
        <w:t>Also, n</w:t>
      </w:r>
      <w:r w:rsidRPr="00D57B87">
        <w:rPr>
          <w:rFonts w:ascii="Arial Nova" w:eastAsia="Arial Unicode MS" w:hAnsi="Arial Nova" w:cs="Geeza Pro"/>
          <w:color w:val="000000"/>
          <w:sz w:val="22"/>
          <w:szCs w:val="22"/>
        </w:rPr>
        <w:t>ote that the Financial Year will commence on April</w:t>
      </w:r>
      <w:r w:rsidR="00D57B87" w:rsidRPr="00D57B87">
        <w:rPr>
          <w:rFonts w:ascii="Arial Nova" w:eastAsia="Arial Unicode MS" w:hAnsi="Arial Nova" w:cs="Geeza Pro"/>
          <w:color w:val="000000"/>
          <w:sz w:val="22"/>
          <w:szCs w:val="22"/>
        </w:rPr>
        <w:t xml:space="preserve"> </w:t>
      </w:r>
      <w:r w:rsidRPr="00D57B87">
        <w:rPr>
          <w:rFonts w:ascii="Arial Nova" w:eastAsia="Arial Unicode MS" w:hAnsi="Arial Nova" w:cs="Geeza Pro"/>
          <w:color w:val="000000"/>
          <w:sz w:val="22"/>
          <w:szCs w:val="22"/>
        </w:rPr>
        <w:t xml:space="preserve">1st and end on March 31st of the following </w:t>
      </w:r>
      <w:r w:rsidR="00630E11" w:rsidRPr="00D57B87">
        <w:rPr>
          <w:rFonts w:ascii="Arial Nova" w:eastAsia="Arial Unicode MS" w:hAnsi="Arial Nova" w:cs="Geeza Pro"/>
          <w:color w:val="000000"/>
          <w:sz w:val="22"/>
          <w:szCs w:val="22"/>
        </w:rPr>
        <w:t>Calendar</w:t>
      </w:r>
      <w:r w:rsidRPr="00D57B87">
        <w:rPr>
          <w:rFonts w:ascii="Arial Nova" w:eastAsia="Arial Unicode MS" w:hAnsi="Arial Nova" w:cs="Geeza Pro"/>
          <w:color w:val="000000"/>
          <w:sz w:val="22"/>
          <w:szCs w:val="22"/>
        </w:rPr>
        <w:t xml:space="preserve"> Year. </w:t>
      </w:r>
    </w:p>
    <w:p w14:paraId="54F6693E" w14:textId="77777777" w:rsidR="00137DB3" w:rsidRPr="00D57B87" w:rsidRDefault="00114555" w:rsidP="00123CF9">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Single License for Conventional &amp; Un-conventional Hydrocarbons. </w:t>
      </w:r>
    </w:p>
    <w:p w14:paraId="65AF5FF7" w14:textId="77777777" w:rsidR="00137DB3" w:rsidRPr="00D57B87" w:rsidRDefault="00114555" w:rsidP="00123CF9">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Full Marketing and Pricing Freedom for Gas produced. </w:t>
      </w:r>
    </w:p>
    <w:p w14:paraId="441CBAA5" w14:textId="77777777" w:rsidR="00137DB3" w:rsidRPr="00D57B87" w:rsidRDefault="00114555" w:rsidP="00123CF9">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Exploration is allowed during the entire Contract Period. The Contract Period is defined in MRSC. </w:t>
      </w:r>
    </w:p>
    <w:p w14:paraId="02FEAA43" w14:textId="77777777" w:rsidR="00137DB3" w:rsidRPr="00D57B87" w:rsidRDefault="00114555" w:rsidP="00123CF9">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No overlap of CBM Blocks with existing proposed Coal Blocks/mines. </w:t>
      </w:r>
    </w:p>
    <w:p w14:paraId="49BAA6FA" w14:textId="77777777" w:rsidR="00137DB3" w:rsidRPr="00D57B87" w:rsidRDefault="00114555" w:rsidP="00123CF9">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Each block falls within one State (Province) only. </w:t>
      </w:r>
    </w:p>
    <w:p w14:paraId="25C5E22C" w14:textId="77777777" w:rsidR="00137DB3" w:rsidRPr="00D57B87" w:rsidRDefault="00114555" w:rsidP="00123CF9">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One hundred per cent (100%) participation from foreign companies/Joint ventures. </w:t>
      </w:r>
    </w:p>
    <w:p w14:paraId="60C282AC" w14:textId="0186A71E" w:rsidR="00552794" w:rsidRPr="00D57B87" w:rsidRDefault="00114555" w:rsidP="00123CF9">
      <w:pPr>
        <w:numPr>
          <w:ilvl w:val="1"/>
          <w:numId w:val="4"/>
        </w:numPr>
        <w:spacing w:after="240" w:line="360" w:lineRule="exact"/>
        <w:ind w:left="1440" w:hanging="873"/>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 xml:space="preserve">Availability of infrastructure through GAIL under Pradhan Mantri </w:t>
      </w:r>
      <w:proofErr w:type="spellStart"/>
      <w:r w:rsidRPr="00D57B87">
        <w:rPr>
          <w:rFonts w:ascii="Arial Nova" w:eastAsia="Arial Unicode MS" w:hAnsi="Arial Nova" w:cs="Geeza Pro"/>
          <w:color w:val="000000"/>
          <w:sz w:val="22"/>
          <w:szCs w:val="22"/>
        </w:rPr>
        <w:t>Urja</w:t>
      </w:r>
      <w:proofErr w:type="spellEnd"/>
      <w:r w:rsidRPr="00D57B87">
        <w:rPr>
          <w:rFonts w:ascii="Arial Nova" w:eastAsia="Arial Unicode MS" w:hAnsi="Arial Nova" w:cs="Geeza Pro"/>
          <w:color w:val="000000"/>
          <w:sz w:val="22"/>
          <w:szCs w:val="22"/>
        </w:rPr>
        <w:t xml:space="preserve"> Ganga Project in different states of India. </w:t>
      </w:r>
    </w:p>
    <w:p w14:paraId="0C6A314C" w14:textId="3B37CC00" w:rsidR="00926A35" w:rsidRPr="00D57B87" w:rsidRDefault="00114555" w:rsidP="00552794">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GAIL (India) Limited (GAIL)</w:t>
      </w:r>
      <w:r w:rsidR="00552794" w:rsidRPr="00D57B87">
        <w:rPr>
          <w:rFonts w:ascii="Arial Nova" w:eastAsia="Arial Unicode MS" w:hAnsi="Arial Nova" w:cs="Geeza Pro"/>
          <w:color w:val="000000"/>
          <w:sz w:val="22"/>
          <w:szCs w:val="22"/>
        </w:rPr>
        <w:t xml:space="preserve"> </w:t>
      </w:r>
      <w:r w:rsidRPr="00D57B87">
        <w:rPr>
          <w:rFonts w:ascii="Arial Nova" w:eastAsia="Arial Unicode MS" w:hAnsi="Arial Nova" w:cs="Geeza Pro"/>
          <w:color w:val="000000"/>
          <w:sz w:val="22"/>
          <w:szCs w:val="22"/>
        </w:rPr>
        <w:t>(formerly known as Gas Authority of India Limited) is a public sector undertaking (PSU)</w:t>
      </w:r>
      <w:r w:rsidR="00D57B87">
        <w:rPr>
          <w:rFonts w:ascii="Arial Nova" w:eastAsia="Arial Unicode MS" w:hAnsi="Arial Nova" w:cs="Geeza Pro"/>
          <w:color w:val="000000"/>
          <w:sz w:val="22"/>
          <w:szCs w:val="22"/>
        </w:rPr>
        <w:t xml:space="preserve"> and is listed on Indian stock exchanges</w:t>
      </w:r>
      <w:r w:rsidR="00552794" w:rsidRPr="00D57B87">
        <w:rPr>
          <w:rFonts w:ascii="Arial Nova" w:eastAsia="Arial Unicode MS" w:hAnsi="Arial Nova" w:cs="Geeza Pro"/>
          <w:color w:val="000000"/>
          <w:sz w:val="22"/>
          <w:szCs w:val="22"/>
        </w:rPr>
        <w:t xml:space="preserve">. GAIL, among other </w:t>
      </w:r>
      <w:r w:rsidR="00747296">
        <w:rPr>
          <w:rFonts w:ascii="Arial Nova" w:eastAsia="Arial Unicode MS" w:hAnsi="Arial Nova" w:cs="Geeza Pro"/>
          <w:color w:val="000000"/>
          <w:sz w:val="22"/>
          <w:szCs w:val="22"/>
        </w:rPr>
        <w:t>business</w:t>
      </w:r>
      <w:r w:rsidR="00552794" w:rsidRPr="00D57B87">
        <w:rPr>
          <w:rFonts w:ascii="Arial Nova" w:eastAsia="Arial Unicode MS" w:hAnsi="Arial Nova" w:cs="Geeza Pro"/>
          <w:color w:val="000000"/>
          <w:sz w:val="22"/>
          <w:szCs w:val="22"/>
        </w:rPr>
        <w:t xml:space="preserve">, is engaged in </w:t>
      </w:r>
      <w:r w:rsidRPr="00D57B87">
        <w:rPr>
          <w:rFonts w:ascii="Arial Nova" w:eastAsia="Arial Unicode MS" w:hAnsi="Arial Nova" w:cs="Geeza Pro"/>
          <w:color w:val="000000"/>
          <w:sz w:val="22"/>
          <w:szCs w:val="22"/>
        </w:rPr>
        <w:t xml:space="preserve">constructing </w:t>
      </w:r>
      <w:r w:rsidR="00747296">
        <w:rPr>
          <w:rFonts w:ascii="Arial Nova" w:eastAsia="Arial Unicode MS" w:hAnsi="Arial Nova" w:cs="Geeza Pro"/>
          <w:color w:val="000000"/>
          <w:sz w:val="22"/>
          <w:szCs w:val="22"/>
        </w:rPr>
        <w:t xml:space="preserve">and operating </w:t>
      </w:r>
      <w:r w:rsidRPr="00D57B87">
        <w:rPr>
          <w:rFonts w:ascii="Arial Nova" w:eastAsia="Arial Unicode MS" w:hAnsi="Arial Nova" w:cs="Geeza Pro"/>
          <w:color w:val="000000"/>
          <w:sz w:val="22"/>
          <w:szCs w:val="22"/>
        </w:rPr>
        <w:t>natural gas pipeline</w:t>
      </w:r>
      <w:r w:rsidR="00552794" w:rsidRPr="00D57B87">
        <w:rPr>
          <w:rFonts w:ascii="Arial Nova" w:eastAsia="Arial Unicode MS" w:hAnsi="Arial Nova" w:cs="Geeza Pro"/>
          <w:color w:val="000000"/>
          <w:sz w:val="22"/>
          <w:szCs w:val="22"/>
        </w:rPr>
        <w:t>s in India, including</w:t>
      </w:r>
      <w:r w:rsidRPr="00D57B87">
        <w:rPr>
          <w:rFonts w:ascii="Arial Nova" w:eastAsia="Arial Unicode MS" w:hAnsi="Arial Nova" w:cs="Geeza Pro"/>
          <w:color w:val="000000"/>
          <w:sz w:val="22"/>
          <w:szCs w:val="22"/>
        </w:rPr>
        <w:t xml:space="preserve"> under Pradhan Mantri </w:t>
      </w:r>
      <w:proofErr w:type="spellStart"/>
      <w:r w:rsidRPr="00D57B87">
        <w:rPr>
          <w:rFonts w:ascii="Arial Nova" w:eastAsia="Arial Unicode MS" w:hAnsi="Arial Nova" w:cs="Geeza Pro"/>
          <w:color w:val="000000"/>
          <w:sz w:val="22"/>
          <w:szCs w:val="22"/>
        </w:rPr>
        <w:t>Urja</w:t>
      </w:r>
      <w:proofErr w:type="spellEnd"/>
      <w:r w:rsidRPr="00D57B87">
        <w:rPr>
          <w:rFonts w:ascii="Arial Nova" w:eastAsia="Arial Unicode MS" w:hAnsi="Arial Nova" w:cs="Geeza Pro"/>
          <w:color w:val="000000"/>
          <w:sz w:val="22"/>
          <w:szCs w:val="22"/>
        </w:rPr>
        <w:t xml:space="preserve"> Ganga Project</w:t>
      </w:r>
      <w:r w:rsidR="00552794" w:rsidRPr="00D57B87">
        <w:rPr>
          <w:rFonts w:ascii="Arial Nova" w:eastAsia="Arial Unicode MS" w:hAnsi="Arial Nova" w:cs="Geeza Pro"/>
          <w:color w:val="000000"/>
          <w:sz w:val="22"/>
          <w:szCs w:val="22"/>
        </w:rPr>
        <w:t xml:space="preserve">. GAIL currently owns and operates about 12,500 Kilometres of natural gas pipeline network with </w:t>
      </w:r>
      <w:r w:rsidR="00211670" w:rsidRPr="00D57B87">
        <w:rPr>
          <w:rFonts w:ascii="Arial Nova" w:eastAsia="Arial Unicode MS" w:hAnsi="Arial Nova" w:cs="Geeza Pro"/>
          <w:color w:val="000000"/>
          <w:sz w:val="22"/>
          <w:szCs w:val="22"/>
        </w:rPr>
        <w:t>approximately</w:t>
      </w:r>
      <w:r w:rsidR="00552794" w:rsidRPr="00D57B87">
        <w:rPr>
          <w:rFonts w:ascii="Arial Nova" w:eastAsia="Arial Unicode MS" w:hAnsi="Arial Nova" w:cs="Geeza Pro"/>
          <w:color w:val="000000"/>
          <w:sz w:val="22"/>
          <w:szCs w:val="22"/>
        </w:rPr>
        <w:t xml:space="preserve"> 75% of the market share in Natural Gas Transmission within the country, connecting multiple gas sources to various customers. Under Pradhan Mantri </w:t>
      </w:r>
      <w:proofErr w:type="spellStart"/>
      <w:r w:rsidR="00552794" w:rsidRPr="00D57B87">
        <w:rPr>
          <w:rFonts w:ascii="Arial Nova" w:eastAsia="Arial Unicode MS" w:hAnsi="Arial Nova" w:cs="Geeza Pro"/>
          <w:color w:val="000000"/>
          <w:sz w:val="22"/>
          <w:szCs w:val="22"/>
        </w:rPr>
        <w:t>Urja</w:t>
      </w:r>
      <w:proofErr w:type="spellEnd"/>
      <w:r w:rsidR="00552794" w:rsidRPr="00D57B87">
        <w:rPr>
          <w:rFonts w:ascii="Arial Nova" w:eastAsia="Arial Unicode MS" w:hAnsi="Arial Nova" w:cs="Geeza Pro"/>
          <w:color w:val="000000"/>
          <w:sz w:val="22"/>
          <w:szCs w:val="22"/>
        </w:rPr>
        <w:t xml:space="preserve"> Ganga, GAIL is constructing natural gas pipelines</w:t>
      </w:r>
      <w:r w:rsidRPr="00D57B87">
        <w:rPr>
          <w:rFonts w:ascii="Arial Nova" w:eastAsia="Arial Unicode MS" w:hAnsi="Arial Nova" w:cs="Geeza Pro"/>
          <w:color w:val="000000"/>
          <w:sz w:val="22"/>
          <w:szCs w:val="22"/>
        </w:rPr>
        <w:t xml:space="preserve"> in different states of India with a total length of approximately 3,384 kilometres. </w:t>
      </w:r>
    </w:p>
    <w:p w14:paraId="2153645D" w14:textId="30421EDA" w:rsidR="00747296" w:rsidRDefault="00747296" w:rsidP="001844B0">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Pr>
          <w:rFonts w:ascii="Arial Nova" w:eastAsia="Arial Unicode MS" w:hAnsi="Arial Nova" w:cs="Geeza Pro"/>
          <w:color w:val="000000"/>
          <w:sz w:val="22"/>
          <w:szCs w:val="22"/>
        </w:rPr>
        <w:t xml:space="preserve">This article is for informational purposes only and may not be relied upon as a legal advice. It is recommended that an independent legal advice be sought. All liabilities are hereby disclaimed. </w:t>
      </w:r>
    </w:p>
    <w:p w14:paraId="73A65381" w14:textId="15E4A24B" w:rsidR="00747296" w:rsidRPr="00747296" w:rsidRDefault="00747296" w:rsidP="00747296">
      <w:pPr>
        <w:numPr>
          <w:ilvl w:val="0"/>
          <w:numId w:val="4"/>
        </w:numPr>
        <w:spacing w:after="240" w:line="360" w:lineRule="exact"/>
        <w:ind w:left="567" w:hanging="567"/>
        <w:jc w:val="both"/>
        <w:divId w:val="773524315"/>
        <w:rPr>
          <w:rFonts w:ascii="Arial Nova" w:eastAsia="Arial Unicode MS" w:hAnsi="Arial Nova" w:cs="Geeza Pro"/>
          <w:color w:val="000000"/>
          <w:sz w:val="22"/>
          <w:szCs w:val="22"/>
        </w:rPr>
      </w:pPr>
      <w:r w:rsidRPr="00D57B87">
        <w:rPr>
          <w:rFonts w:ascii="Arial Nova" w:eastAsia="Arial Unicode MS" w:hAnsi="Arial Nova" w:cs="Geeza Pro"/>
          <w:color w:val="000000"/>
          <w:sz w:val="22"/>
          <w:szCs w:val="22"/>
        </w:rPr>
        <w:t>If you have any queries, please write to Hugh Fraser at hugh.fraser@hfi-consulting.com and Mukund Puranik at Mukund.Puranik@metwand.com</w:t>
      </w:r>
      <w:r>
        <w:rPr>
          <w:rFonts w:ascii="Arial Nova" w:eastAsia="Arial Unicode MS" w:hAnsi="Arial Nova" w:cs="Geeza Pro"/>
          <w:sz w:val="22"/>
          <w:szCs w:val="22"/>
        </w:rPr>
        <w:t>.</w:t>
      </w:r>
    </w:p>
    <w:p w14:paraId="4E0BC314" w14:textId="5E0CE02F" w:rsidR="001844B0" w:rsidRPr="00EE001A" w:rsidRDefault="00C966ED" w:rsidP="00EE001A">
      <w:pPr>
        <w:spacing w:after="240" w:line="360" w:lineRule="exact"/>
        <w:ind w:left="567"/>
        <w:jc w:val="center"/>
        <w:divId w:val="773524315"/>
        <w:rPr>
          <w:rFonts w:ascii="Arial Nova" w:eastAsia="Arial Unicode MS" w:hAnsi="Arial Nova" w:cs="Geeza Pro"/>
          <w:color w:val="000000"/>
          <w:sz w:val="22"/>
          <w:szCs w:val="22"/>
        </w:rPr>
      </w:pPr>
      <w:r w:rsidRPr="00747296">
        <w:rPr>
          <w:rFonts w:ascii="Arial Nova" w:eastAsia="Arial Unicode MS" w:hAnsi="Arial Nova" w:cs="Geeza Pro"/>
          <w:sz w:val="22"/>
          <w:szCs w:val="22"/>
        </w:rPr>
        <w:t>***</w:t>
      </w:r>
    </w:p>
    <w:sectPr w:rsidR="001844B0" w:rsidRPr="00EE001A" w:rsidSect="00EE001A">
      <w:footerReference w:type="even" r:id="rId7"/>
      <w:footerReference w:type="default" r:id="rId8"/>
      <w:pgSz w:w="11906" w:h="16838"/>
      <w:pgMar w:top="1370" w:right="1440" w:bottom="171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7765" w14:textId="77777777" w:rsidR="00926316" w:rsidRDefault="00926316">
      <w:r>
        <w:separator/>
      </w:r>
    </w:p>
  </w:endnote>
  <w:endnote w:type="continuationSeparator" w:id="0">
    <w:p w14:paraId="44CF334F" w14:textId="77777777" w:rsidR="00926316" w:rsidRDefault="0092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Nova">
    <w:panose1 w:val="020B0504020202020204"/>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eza Pro">
    <w:panose1 w:val="02000400000000000000"/>
    <w:charset w:val="B2"/>
    <w:family w:val="auto"/>
    <w:pitch w:val="variable"/>
    <w:sig w:usb0="80002001"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5835341"/>
      <w:docPartObj>
        <w:docPartGallery w:val="Page Numbers (Bottom of Page)"/>
        <w:docPartUnique/>
      </w:docPartObj>
    </w:sdtPr>
    <w:sdtEndPr>
      <w:rPr>
        <w:rStyle w:val="PageNumber"/>
      </w:rPr>
    </w:sdtEndPr>
    <w:sdtContent>
      <w:p w14:paraId="486EE2DA" w14:textId="17897F12" w:rsidR="00C87C43" w:rsidRDefault="00114555" w:rsidP="00855C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926316">
          <w:rPr>
            <w:rStyle w:val="PageNumber"/>
          </w:rPr>
          <w:fldChar w:fldCharType="separate"/>
        </w:r>
        <w:r>
          <w:rPr>
            <w:rStyle w:val="PageNumber"/>
          </w:rPr>
          <w:fldChar w:fldCharType="end"/>
        </w:r>
      </w:p>
    </w:sdtContent>
  </w:sdt>
  <w:p w14:paraId="39F007FA" w14:textId="77777777" w:rsidR="00C87C43" w:rsidRDefault="00C87C43" w:rsidP="00C87C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3355664"/>
      <w:docPartObj>
        <w:docPartGallery w:val="Page Numbers (Bottom of Page)"/>
        <w:docPartUnique/>
      </w:docPartObj>
    </w:sdtPr>
    <w:sdtEndPr>
      <w:rPr>
        <w:rStyle w:val="PageNumber"/>
      </w:rPr>
    </w:sdtEndPr>
    <w:sdtContent>
      <w:p w14:paraId="0C37F1A2" w14:textId="2DD5A252" w:rsidR="00C87C43" w:rsidRDefault="00114555" w:rsidP="00855C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B4DABA" w14:textId="77777777" w:rsidR="00C87C43" w:rsidRDefault="00C87C43" w:rsidP="00C87C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1BFAD" w14:textId="77777777" w:rsidR="00926316" w:rsidRDefault="00926316">
      <w:r>
        <w:separator/>
      </w:r>
    </w:p>
  </w:footnote>
  <w:footnote w:type="continuationSeparator" w:id="0">
    <w:p w14:paraId="76789C30" w14:textId="77777777" w:rsidR="00926316" w:rsidRDefault="0092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4D1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7561D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C721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DD513A"/>
    <w:multiLevelType w:val="hybridMultilevel"/>
    <w:tmpl w:val="2874583E"/>
    <w:lvl w:ilvl="0" w:tplc="43F813B2">
      <w:start w:val="1"/>
      <w:numFmt w:val="upperRoman"/>
      <w:lvlText w:val="(%1)"/>
      <w:lvlJc w:val="left"/>
      <w:pPr>
        <w:ind w:left="2160" w:hanging="720"/>
      </w:pPr>
      <w:rPr>
        <w:rFonts w:hint="default"/>
      </w:rPr>
    </w:lvl>
    <w:lvl w:ilvl="1" w:tplc="E9363C6C" w:tentative="1">
      <w:start w:val="1"/>
      <w:numFmt w:val="lowerLetter"/>
      <w:lvlText w:val="%2."/>
      <w:lvlJc w:val="left"/>
      <w:pPr>
        <w:ind w:left="2520" w:hanging="360"/>
      </w:pPr>
    </w:lvl>
    <w:lvl w:ilvl="2" w:tplc="70863666" w:tentative="1">
      <w:start w:val="1"/>
      <w:numFmt w:val="lowerRoman"/>
      <w:lvlText w:val="%3."/>
      <w:lvlJc w:val="right"/>
      <w:pPr>
        <w:ind w:left="3240" w:hanging="180"/>
      </w:pPr>
    </w:lvl>
    <w:lvl w:ilvl="3" w:tplc="63DA2AF0" w:tentative="1">
      <w:start w:val="1"/>
      <w:numFmt w:val="decimal"/>
      <w:lvlText w:val="%4."/>
      <w:lvlJc w:val="left"/>
      <w:pPr>
        <w:ind w:left="3960" w:hanging="360"/>
      </w:pPr>
    </w:lvl>
    <w:lvl w:ilvl="4" w:tplc="93826C4C" w:tentative="1">
      <w:start w:val="1"/>
      <w:numFmt w:val="lowerLetter"/>
      <w:lvlText w:val="%5."/>
      <w:lvlJc w:val="left"/>
      <w:pPr>
        <w:ind w:left="4680" w:hanging="360"/>
      </w:pPr>
    </w:lvl>
    <w:lvl w:ilvl="5" w:tplc="232A5E8C" w:tentative="1">
      <w:start w:val="1"/>
      <w:numFmt w:val="lowerRoman"/>
      <w:lvlText w:val="%6."/>
      <w:lvlJc w:val="right"/>
      <w:pPr>
        <w:ind w:left="5400" w:hanging="180"/>
      </w:pPr>
    </w:lvl>
    <w:lvl w:ilvl="6" w:tplc="A29CED1E" w:tentative="1">
      <w:start w:val="1"/>
      <w:numFmt w:val="decimal"/>
      <w:lvlText w:val="%7."/>
      <w:lvlJc w:val="left"/>
      <w:pPr>
        <w:ind w:left="6120" w:hanging="360"/>
      </w:pPr>
    </w:lvl>
    <w:lvl w:ilvl="7" w:tplc="414C92F8" w:tentative="1">
      <w:start w:val="1"/>
      <w:numFmt w:val="lowerLetter"/>
      <w:lvlText w:val="%8."/>
      <w:lvlJc w:val="left"/>
      <w:pPr>
        <w:ind w:left="6840" w:hanging="360"/>
      </w:pPr>
    </w:lvl>
    <w:lvl w:ilvl="8" w:tplc="E102AC18" w:tentative="1">
      <w:start w:val="1"/>
      <w:numFmt w:val="lowerRoman"/>
      <w:lvlText w:val="%9."/>
      <w:lvlJc w:val="right"/>
      <w:pPr>
        <w:ind w:left="7560" w:hanging="180"/>
      </w:pPr>
    </w:lvl>
  </w:abstractNum>
  <w:abstractNum w:abstractNumId="4" w15:restartNumberingAfterBreak="0">
    <w:nsid w:val="59EA4110"/>
    <w:multiLevelType w:val="hybridMultilevel"/>
    <w:tmpl w:val="2B0A62C2"/>
    <w:lvl w:ilvl="0" w:tplc="BA0CE76E">
      <w:start w:val="1"/>
      <w:numFmt w:val="lowerRoman"/>
      <w:lvlText w:val="(%1)"/>
      <w:lvlJc w:val="left"/>
      <w:pPr>
        <w:ind w:left="2705" w:hanging="720"/>
      </w:pPr>
      <w:rPr>
        <w:rFonts w:hint="default"/>
      </w:rPr>
    </w:lvl>
    <w:lvl w:ilvl="1" w:tplc="05FAA8B0" w:tentative="1">
      <w:start w:val="1"/>
      <w:numFmt w:val="lowerLetter"/>
      <w:lvlText w:val="%2."/>
      <w:lvlJc w:val="left"/>
      <w:pPr>
        <w:ind w:left="3065" w:hanging="360"/>
      </w:pPr>
    </w:lvl>
    <w:lvl w:ilvl="2" w:tplc="D856EDA0" w:tentative="1">
      <w:start w:val="1"/>
      <w:numFmt w:val="lowerRoman"/>
      <w:lvlText w:val="%3."/>
      <w:lvlJc w:val="right"/>
      <w:pPr>
        <w:ind w:left="3785" w:hanging="180"/>
      </w:pPr>
    </w:lvl>
    <w:lvl w:ilvl="3" w:tplc="D90AEE26" w:tentative="1">
      <w:start w:val="1"/>
      <w:numFmt w:val="decimal"/>
      <w:lvlText w:val="%4."/>
      <w:lvlJc w:val="left"/>
      <w:pPr>
        <w:ind w:left="4505" w:hanging="360"/>
      </w:pPr>
    </w:lvl>
    <w:lvl w:ilvl="4" w:tplc="E488CECA" w:tentative="1">
      <w:start w:val="1"/>
      <w:numFmt w:val="lowerLetter"/>
      <w:lvlText w:val="%5."/>
      <w:lvlJc w:val="left"/>
      <w:pPr>
        <w:ind w:left="5225" w:hanging="360"/>
      </w:pPr>
    </w:lvl>
    <w:lvl w:ilvl="5" w:tplc="C6BC9F2E" w:tentative="1">
      <w:start w:val="1"/>
      <w:numFmt w:val="lowerRoman"/>
      <w:lvlText w:val="%6."/>
      <w:lvlJc w:val="right"/>
      <w:pPr>
        <w:ind w:left="5945" w:hanging="180"/>
      </w:pPr>
    </w:lvl>
    <w:lvl w:ilvl="6" w:tplc="58C6296E" w:tentative="1">
      <w:start w:val="1"/>
      <w:numFmt w:val="decimal"/>
      <w:lvlText w:val="%7."/>
      <w:lvlJc w:val="left"/>
      <w:pPr>
        <w:ind w:left="6665" w:hanging="360"/>
      </w:pPr>
    </w:lvl>
    <w:lvl w:ilvl="7" w:tplc="C7E2B386" w:tentative="1">
      <w:start w:val="1"/>
      <w:numFmt w:val="lowerLetter"/>
      <w:lvlText w:val="%8."/>
      <w:lvlJc w:val="left"/>
      <w:pPr>
        <w:ind w:left="7385" w:hanging="360"/>
      </w:pPr>
    </w:lvl>
    <w:lvl w:ilvl="8" w:tplc="9C4A3D96" w:tentative="1">
      <w:start w:val="1"/>
      <w:numFmt w:val="lowerRoman"/>
      <w:lvlText w:val="%9."/>
      <w:lvlJc w:val="right"/>
      <w:pPr>
        <w:ind w:left="8105" w:hanging="180"/>
      </w:pPr>
    </w:lvl>
  </w:abstractNum>
  <w:abstractNum w:abstractNumId="5" w15:restartNumberingAfterBreak="0">
    <w:nsid w:val="5AC8638D"/>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19414B"/>
    <w:multiLevelType w:val="hybridMultilevel"/>
    <w:tmpl w:val="2B0A62C2"/>
    <w:lvl w:ilvl="0" w:tplc="ADE6E336">
      <w:start w:val="1"/>
      <w:numFmt w:val="lowerRoman"/>
      <w:lvlText w:val="(%1)"/>
      <w:lvlJc w:val="left"/>
      <w:pPr>
        <w:ind w:left="2705" w:hanging="720"/>
      </w:pPr>
      <w:rPr>
        <w:rFonts w:hint="default"/>
      </w:rPr>
    </w:lvl>
    <w:lvl w:ilvl="1" w:tplc="257E97C8" w:tentative="1">
      <w:start w:val="1"/>
      <w:numFmt w:val="lowerLetter"/>
      <w:lvlText w:val="%2."/>
      <w:lvlJc w:val="left"/>
      <w:pPr>
        <w:ind w:left="3065" w:hanging="360"/>
      </w:pPr>
    </w:lvl>
    <w:lvl w:ilvl="2" w:tplc="5FF81AC4" w:tentative="1">
      <w:start w:val="1"/>
      <w:numFmt w:val="lowerRoman"/>
      <w:lvlText w:val="%3."/>
      <w:lvlJc w:val="right"/>
      <w:pPr>
        <w:ind w:left="3785" w:hanging="180"/>
      </w:pPr>
    </w:lvl>
    <w:lvl w:ilvl="3" w:tplc="4AC4CAF6" w:tentative="1">
      <w:start w:val="1"/>
      <w:numFmt w:val="decimal"/>
      <w:lvlText w:val="%4."/>
      <w:lvlJc w:val="left"/>
      <w:pPr>
        <w:ind w:left="4505" w:hanging="360"/>
      </w:pPr>
    </w:lvl>
    <w:lvl w:ilvl="4" w:tplc="DFD2FF10" w:tentative="1">
      <w:start w:val="1"/>
      <w:numFmt w:val="lowerLetter"/>
      <w:lvlText w:val="%5."/>
      <w:lvlJc w:val="left"/>
      <w:pPr>
        <w:ind w:left="5225" w:hanging="360"/>
      </w:pPr>
    </w:lvl>
    <w:lvl w:ilvl="5" w:tplc="A00EC238" w:tentative="1">
      <w:start w:val="1"/>
      <w:numFmt w:val="lowerRoman"/>
      <w:lvlText w:val="%6."/>
      <w:lvlJc w:val="right"/>
      <w:pPr>
        <w:ind w:left="5945" w:hanging="180"/>
      </w:pPr>
    </w:lvl>
    <w:lvl w:ilvl="6" w:tplc="985A4C04" w:tentative="1">
      <w:start w:val="1"/>
      <w:numFmt w:val="decimal"/>
      <w:lvlText w:val="%7."/>
      <w:lvlJc w:val="left"/>
      <w:pPr>
        <w:ind w:left="6665" w:hanging="360"/>
      </w:pPr>
    </w:lvl>
    <w:lvl w:ilvl="7" w:tplc="AC721D3C" w:tentative="1">
      <w:start w:val="1"/>
      <w:numFmt w:val="lowerLetter"/>
      <w:lvlText w:val="%8."/>
      <w:lvlJc w:val="left"/>
      <w:pPr>
        <w:ind w:left="7385" w:hanging="360"/>
      </w:pPr>
    </w:lvl>
    <w:lvl w:ilvl="8" w:tplc="DED64C1C" w:tentative="1">
      <w:start w:val="1"/>
      <w:numFmt w:val="lowerRoman"/>
      <w:lvlText w:val="%9."/>
      <w:lvlJc w:val="right"/>
      <w:pPr>
        <w:ind w:left="8105" w:hanging="180"/>
      </w:p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35"/>
    <w:rsid w:val="00004943"/>
    <w:rsid w:val="00004D08"/>
    <w:rsid w:val="00005C7D"/>
    <w:rsid w:val="00090E15"/>
    <w:rsid w:val="00091330"/>
    <w:rsid w:val="00092A3B"/>
    <w:rsid w:val="000C55EE"/>
    <w:rsid w:val="000D685A"/>
    <w:rsid w:val="000F7224"/>
    <w:rsid w:val="0010040B"/>
    <w:rsid w:val="0010179F"/>
    <w:rsid w:val="00114555"/>
    <w:rsid w:val="00122BAE"/>
    <w:rsid w:val="00123CF9"/>
    <w:rsid w:val="00137DB3"/>
    <w:rsid w:val="00141D2E"/>
    <w:rsid w:val="00152F66"/>
    <w:rsid w:val="001844B0"/>
    <w:rsid w:val="001B0DA0"/>
    <w:rsid w:val="001C75D9"/>
    <w:rsid w:val="001F0A4D"/>
    <w:rsid w:val="00203675"/>
    <w:rsid w:val="00206B46"/>
    <w:rsid w:val="00211670"/>
    <w:rsid w:val="00231707"/>
    <w:rsid w:val="00235BEA"/>
    <w:rsid w:val="0025076B"/>
    <w:rsid w:val="00290EE6"/>
    <w:rsid w:val="002B538E"/>
    <w:rsid w:val="002C06B3"/>
    <w:rsid w:val="002F44AD"/>
    <w:rsid w:val="00310DF1"/>
    <w:rsid w:val="003A3BFE"/>
    <w:rsid w:val="003C75B0"/>
    <w:rsid w:val="003F1EC8"/>
    <w:rsid w:val="00415285"/>
    <w:rsid w:val="004175FC"/>
    <w:rsid w:val="00464B51"/>
    <w:rsid w:val="00492A5D"/>
    <w:rsid w:val="004E220E"/>
    <w:rsid w:val="004E714C"/>
    <w:rsid w:val="004F4707"/>
    <w:rsid w:val="00522CE2"/>
    <w:rsid w:val="0054212C"/>
    <w:rsid w:val="00552794"/>
    <w:rsid w:val="00555C03"/>
    <w:rsid w:val="00587217"/>
    <w:rsid w:val="005B2C31"/>
    <w:rsid w:val="005B45EA"/>
    <w:rsid w:val="005D6BD3"/>
    <w:rsid w:val="005E047C"/>
    <w:rsid w:val="00622487"/>
    <w:rsid w:val="00630E11"/>
    <w:rsid w:val="00653226"/>
    <w:rsid w:val="00712D2D"/>
    <w:rsid w:val="007270F3"/>
    <w:rsid w:val="00747296"/>
    <w:rsid w:val="00754D83"/>
    <w:rsid w:val="00784DCE"/>
    <w:rsid w:val="00796A60"/>
    <w:rsid w:val="007A5878"/>
    <w:rsid w:val="007E6AF3"/>
    <w:rsid w:val="007F0E4A"/>
    <w:rsid w:val="00805F97"/>
    <w:rsid w:val="00816B36"/>
    <w:rsid w:val="00822F06"/>
    <w:rsid w:val="00855C27"/>
    <w:rsid w:val="008824F9"/>
    <w:rsid w:val="008930A5"/>
    <w:rsid w:val="008C5425"/>
    <w:rsid w:val="008C58E6"/>
    <w:rsid w:val="008E6240"/>
    <w:rsid w:val="00903779"/>
    <w:rsid w:val="00911C1D"/>
    <w:rsid w:val="00926316"/>
    <w:rsid w:val="00926A35"/>
    <w:rsid w:val="00943E45"/>
    <w:rsid w:val="0096671F"/>
    <w:rsid w:val="009A052D"/>
    <w:rsid w:val="009B3A3C"/>
    <w:rsid w:val="009B7683"/>
    <w:rsid w:val="009D23B9"/>
    <w:rsid w:val="009D6418"/>
    <w:rsid w:val="009D65EE"/>
    <w:rsid w:val="009F5C73"/>
    <w:rsid w:val="00A01374"/>
    <w:rsid w:val="00A3250A"/>
    <w:rsid w:val="00A64DBB"/>
    <w:rsid w:val="00A80FB1"/>
    <w:rsid w:val="00A93102"/>
    <w:rsid w:val="00A970F0"/>
    <w:rsid w:val="00AE0FFF"/>
    <w:rsid w:val="00AF2581"/>
    <w:rsid w:val="00B10C37"/>
    <w:rsid w:val="00B24D4F"/>
    <w:rsid w:val="00B94D46"/>
    <w:rsid w:val="00BB612C"/>
    <w:rsid w:val="00BE1E6C"/>
    <w:rsid w:val="00C366EB"/>
    <w:rsid w:val="00C57B98"/>
    <w:rsid w:val="00C87C43"/>
    <w:rsid w:val="00C966ED"/>
    <w:rsid w:val="00CB313E"/>
    <w:rsid w:val="00CD022B"/>
    <w:rsid w:val="00CE5B0D"/>
    <w:rsid w:val="00CF1388"/>
    <w:rsid w:val="00D17BB2"/>
    <w:rsid w:val="00D255CF"/>
    <w:rsid w:val="00D53CCC"/>
    <w:rsid w:val="00D57B87"/>
    <w:rsid w:val="00DF74C5"/>
    <w:rsid w:val="00E10819"/>
    <w:rsid w:val="00E17217"/>
    <w:rsid w:val="00E3041F"/>
    <w:rsid w:val="00E72BA3"/>
    <w:rsid w:val="00E73602"/>
    <w:rsid w:val="00E8758B"/>
    <w:rsid w:val="00E94105"/>
    <w:rsid w:val="00EC4BC1"/>
    <w:rsid w:val="00ED2101"/>
    <w:rsid w:val="00ED6972"/>
    <w:rsid w:val="00EE001A"/>
    <w:rsid w:val="00EE2FAC"/>
    <w:rsid w:val="00F01F6A"/>
    <w:rsid w:val="00F654AF"/>
    <w:rsid w:val="00F664D7"/>
    <w:rsid w:val="00F959BF"/>
    <w:rsid w:val="00FD1774"/>
    <w:rsid w:val="00FD5B7B"/>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ecimalSymbol w:val="."/>
  <w:listSeparator w:val=","/>
  <w14:docId w14:val="1CF338C7"/>
  <w15:chartTrackingRefBased/>
  <w15:docId w15:val="{AC0E3B7B-F903-C943-8B97-28969845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IN" w:eastAsia="en-GB" w:bidi="mr-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13E"/>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6A35"/>
  </w:style>
  <w:style w:type="paragraph" w:styleId="ListParagraph">
    <w:name w:val="List Paragraph"/>
    <w:basedOn w:val="Normal"/>
    <w:uiPriority w:val="34"/>
    <w:unhideWhenUsed/>
    <w:qFormat/>
    <w:rsid w:val="00AF2581"/>
    <w:pPr>
      <w:spacing w:before="240" w:after="240"/>
      <w:ind w:left="720"/>
      <w:contextualSpacing/>
    </w:pPr>
    <w:rPr>
      <w:lang w:val="en-GB"/>
    </w:rPr>
  </w:style>
  <w:style w:type="character" w:styleId="Hyperlink">
    <w:name w:val="Hyperlink"/>
    <w:basedOn w:val="DefaultParagraphFont"/>
    <w:uiPriority w:val="99"/>
    <w:unhideWhenUsed/>
    <w:rsid w:val="00137DB3"/>
    <w:rPr>
      <w:color w:val="0563C1" w:themeColor="hyperlink"/>
      <w:u w:val="single"/>
    </w:rPr>
  </w:style>
  <w:style w:type="character" w:customStyle="1" w:styleId="UnresolvedMention1">
    <w:name w:val="Unresolved Mention1"/>
    <w:basedOn w:val="DefaultParagraphFont"/>
    <w:uiPriority w:val="99"/>
    <w:semiHidden/>
    <w:unhideWhenUsed/>
    <w:rsid w:val="00137DB3"/>
    <w:rPr>
      <w:color w:val="605E5C"/>
      <w:shd w:val="clear" w:color="auto" w:fill="E1DFDD"/>
    </w:rPr>
  </w:style>
  <w:style w:type="character" w:styleId="Strong">
    <w:name w:val="Strong"/>
    <w:basedOn w:val="DefaultParagraphFont"/>
    <w:uiPriority w:val="22"/>
    <w:qFormat/>
    <w:rsid w:val="00CB313E"/>
    <w:rPr>
      <w:b/>
      <w:bCs/>
    </w:rPr>
  </w:style>
  <w:style w:type="paragraph" w:styleId="Footer">
    <w:name w:val="footer"/>
    <w:basedOn w:val="Normal"/>
    <w:link w:val="FooterChar"/>
    <w:uiPriority w:val="99"/>
    <w:unhideWhenUsed/>
    <w:rsid w:val="00C87C43"/>
    <w:pPr>
      <w:tabs>
        <w:tab w:val="center" w:pos="4513"/>
        <w:tab w:val="right" w:pos="9026"/>
      </w:tabs>
    </w:pPr>
  </w:style>
  <w:style w:type="character" w:customStyle="1" w:styleId="FooterChar">
    <w:name w:val="Footer Char"/>
    <w:basedOn w:val="DefaultParagraphFont"/>
    <w:link w:val="Footer"/>
    <w:uiPriority w:val="99"/>
    <w:rsid w:val="00C87C43"/>
    <w:rPr>
      <w:rFonts w:ascii="Times New Roman" w:eastAsia="Times New Roman" w:hAnsi="Times New Roman" w:cs="Times New Roman"/>
      <w:sz w:val="24"/>
      <w:szCs w:val="24"/>
      <w:lang w:bidi="ar-SA"/>
    </w:rPr>
  </w:style>
  <w:style w:type="character" w:styleId="PageNumber">
    <w:name w:val="page number"/>
    <w:basedOn w:val="DefaultParagraphFont"/>
    <w:uiPriority w:val="99"/>
    <w:semiHidden/>
    <w:unhideWhenUsed/>
    <w:rsid w:val="00C87C43"/>
  </w:style>
  <w:style w:type="character" w:styleId="UnresolvedMention">
    <w:name w:val="Unresolved Mention"/>
    <w:basedOn w:val="DefaultParagraphFont"/>
    <w:uiPriority w:val="99"/>
    <w:rsid w:val="00747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24315">
      <w:bodyDiv w:val="1"/>
      <w:marLeft w:val="0"/>
      <w:marRight w:val="0"/>
      <w:marTop w:val="0"/>
      <w:marBottom w:val="0"/>
      <w:divBdr>
        <w:top w:val="none" w:sz="0" w:space="0" w:color="auto"/>
        <w:left w:val="none" w:sz="0" w:space="0" w:color="auto"/>
        <w:bottom w:val="none" w:sz="0" w:space="0" w:color="auto"/>
        <w:right w:val="none" w:sz="0" w:space="0" w:color="auto"/>
      </w:divBdr>
      <w:divsChild>
        <w:div w:id="1405831554">
          <w:marLeft w:val="0"/>
          <w:marRight w:val="0"/>
          <w:marTop w:val="0"/>
          <w:marBottom w:val="0"/>
          <w:divBdr>
            <w:top w:val="none" w:sz="0" w:space="0" w:color="auto"/>
            <w:left w:val="none" w:sz="0" w:space="0" w:color="auto"/>
            <w:bottom w:val="none" w:sz="0" w:space="0" w:color="auto"/>
            <w:right w:val="none" w:sz="0" w:space="0" w:color="auto"/>
          </w:divBdr>
        </w:div>
        <w:div w:id="1882476891">
          <w:marLeft w:val="0"/>
          <w:marRight w:val="0"/>
          <w:marTop w:val="0"/>
          <w:marBottom w:val="0"/>
          <w:divBdr>
            <w:top w:val="none" w:sz="0" w:space="0" w:color="auto"/>
            <w:left w:val="none" w:sz="0" w:space="0" w:color="auto"/>
            <w:bottom w:val="none" w:sz="0" w:space="0" w:color="auto"/>
            <w:right w:val="none" w:sz="0" w:space="0" w:color="auto"/>
          </w:divBdr>
        </w:div>
        <w:div w:id="2039698881">
          <w:marLeft w:val="0"/>
          <w:marRight w:val="0"/>
          <w:marTop w:val="0"/>
          <w:marBottom w:val="0"/>
          <w:divBdr>
            <w:top w:val="none" w:sz="0" w:space="0" w:color="auto"/>
            <w:left w:val="none" w:sz="0" w:space="0" w:color="auto"/>
            <w:bottom w:val="none" w:sz="0" w:space="0" w:color="auto"/>
            <w:right w:val="none" w:sz="0" w:space="0" w:color="auto"/>
          </w:divBdr>
          <w:divsChild>
            <w:div w:id="1527132692">
              <w:marLeft w:val="0"/>
              <w:marRight w:val="0"/>
              <w:marTop w:val="0"/>
              <w:marBottom w:val="0"/>
              <w:divBdr>
                <w:top w:val="none" w:sz="0" w:space="0" w:color="auto"/>
                <w:left w:val="none" w:sz="0" w:space="0" w:color="auto"/>
                <w:bottom w:val="none" w:sz="0" w:space="0" w:color="auto"/>
                <w:right w:val="none" w:sz="0" w:space="0" w:color="auto"/>
              </w:divBdr>
              <w:divsChild>
                <w:div w:id="586841235">
                  <w:marLeft w:val="0"/>
                  <w:marRight w:val="0"/>
                  <w:marTop w:val="0"/>
                  <w:marBottom w:val="0"/>
                  <w:divBdr>
                    <w:top w:val="none" w:sz="0" w:space="0" w:color="auto"/>
                    <w:left w:val="none" w:sz="0" w:space="0" w:color="auto"/>
                    <w:bottom w:val="none" w:sz="0" w:space="0" w:color="auto"/>
                    <w:right w:val="none" w:sz="0" w:space="0" w:color="auto"/>
                  </w:divBdr>
                </w:div>
                <w:div w:id="156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7543">
      <w:bodyDiv w:val="1"/>
      <w:marLeft w:val="0"/>
      <w:marRight w:val="0"/>
      <w:marTop w:val="0"/>
      <w:marBottom w:val="0"/>
      <w:divBdr>
        <w:top w:val="none" w:sz="0" w:space="0" w:color="auto"/>
        <w:left w:val="none" w:sz="0" w:space="0" w:color="auto"/>
        <w:bottom w:val="none" w:sz="0" w:space="0" w:color="auto"/>
        <w:right w:val="none" w:sz="0" w:space="0" w:color="auto"/>
      </w:divBdr>
    </w:div>
    <w:div w:id="18423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Oriacgz Z</dc:creator>
  <cp:lastModifiedBy>SHRADDHA PURANIK</cp:lastModifiedBy>
  <cp:revision>23</cp:revision>
  <dcterms:created xsi:type="dcterms:W3CDTF">2021-10-05T07:13:00Z</dcterms:created>
  <dcterms:modified xsi:type="dcterms:W3CDTF">2021-10-05T07:37:00Z</dcterms:modified>
</cp:coreProperties>
</file>